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6"/>
          <w:szCs w:val="26"/>
          <w:b w:val="1"/>
          <w:bCs w:val="1"/>
          <w:color w:val="auto"/>
        </w:rPr>
        <w:t>Uniti Group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3"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500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001-36708</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46-5230630</w:t>
            </w:r>
          </w:p>
        </w:tc>
      </w:t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50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2101 Riverfront Drive, Suite A</w:t>
            </w:r>
          </w:p>
        </w:tc>
        <w:tc>
          <w:tcPr>
            <w:tcW w:w="176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Little Rock, AR, 72202</w:t>
            </w:r>
          </w:p>
        </w:tc>
        <w:tc>
          <w:tcPr>
            <w:tcW w:w="176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6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(501) 850-0820</w:t>
            </w:r>
          </w:p>
        </w:tc>
        <w:tc>
          <w:tcPr>
            <w:tcW w:w="1760" w:type="dxa"/>
            <w:vAlign w:val="bottom"/>
          </w:tcPr>
          <w:p>
            <w:pPr>
              <w:spacing w:after="0"/>
              <w:rPr>
                <w:sz w:val="24"/>
                <w:szCs w:val="24"/>
                <w:color w:val="auto"/>
              </w:rPr>
            </w:pPr>
          </w:p>
        </w:tc>
      </w:tr>
      <w:tr>
        <w:trPr>
          <w:trHeight w:val="273"/>
        </w:trPr>
        <w:tc>
          <w:tcPr>
            <w:tcW w:w="2080" w:type="dxa"/>
            <w:vAlign w:val="bottom"/>
          </w:tcPr>
          <w:p>
            <w:pPr>
              <w:spacing w:after="0"/>
              <w:rPr>
                <w:sz w:val="23"/>
                <w:szCs w:val="23"/>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6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(Former name or former address, if changed since last report.)</w:t>
            </w:r>
          </w:p>
        </w:tc>
        <w:tc>
          <w:tcPr>
            <w:tcW w:w="17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480" w:hanging="8"/>
        <w:spacing w:after="0" w:line="510" w:lineRule="auto"/>
        <w:tabs>
          <w:tab w:leader="none" w:pos="467"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2"/>
        </w:trPr>
        <w:tc>
          <w:tcPr>
            <w:tcW w:w="4520" w:type="dxa"/>
            <w:vAlign w:val="bottom"/>
            <w:tcBorders>
              <w:top w:val="single" w:sz="8" w:color="auto"/>
              <w:left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64"/>
        </w:trPr>
        <w:tc>
          <w:tcPr>
            <w:tcW w:w="452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registered</w:t>
            </w:r>
          </w:p>
        </w:tc>
      </w:tr>
      <w:tr>
        <w:trPr>
          <w:trHeight w:val="16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UNIT</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389255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On February 21, 2025, Uniti Group Inc. (the “Company”) issued a press release announcing the Company’s results for its fiscal quarter and year ended December 31, 2024. A copy of the Company’s press release is attached to this Current Report on Form 8-K as Exhibit 99.1 and is incorporated herein solely for purposes of this Item 2.02 disclosure.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The Company is furnishing certain financial and other information of Windstream Holdings II, LLC, successor in interest to Windstream Holdings, Inc., and its consolidated subsidiaries (collectively, “Windstream”) regarding the period ended December 31, 2024 as Exhibit 99.2 and Exhibit 99.3. The information furnished herein was provided to the Company by Windstream; the Company did not assist in the preparation or review of this information and makes no representation as to its accuracy.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360" w:firstLine="432"/>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Items 2.02 and 7.01, including the exhibits attached hereto, are being “furnished” and shall not be deemed “filed” for purposes of Section 18 of the Exchange Act, or otherwise subject to the liabilities of Section 18 of the Exchange Act. The information in Items 2.02 and 7.01, including the exhibits attached hereto, shall not be incorporated by reference into any registration statement or other document pursuant to the Securities Act of 1933, as amended (the “Securities Act”), or into any filing or other document pursuant to the Exchange Act, except as otherwise expressly stated in any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the Company, Windstream or Windstream Parent, Inc., the proposed combined company following the closing of the Merger (as defined below)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Securities Act. or pursuant to an exemption from, or in a transaction not subject to, such registration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In connection with the contemplated merger (the “Merger”), New Uniti has filed a registration statement on Form S-4 with the SEC, as amended (No. 333-281068), which was declared effective by the SEC on February 12, 2025 and contains a definitive proxy statement/prospectus and other documents. The definitive proxy statement/prospectus was mailed to stockholders of the Company seeking their approval of the transaction-related proposals. This communication is not a substitute for any registration statement, proxy statement/prospectus or other documents that have been or may be filed with the SEC in connection with the Merger.</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THE DEFINITIVE PROXY STATEMENT/PROSPECTUS AND OTHER DOCUMENTS FILED WITH THE SEC IN CONNECTION WITH THE MERGER CONTAINS IMPORTANT INFORMATION ABOUT THE COMPANY, WINDSTREAM, NEW UNITI, THE MERGER AND RELATED MATTERS. INVESTORS SHOULD READ THE DEFINITIVE PROXY STATEMENT/PROSPECTUS AND SUCH OTHER DOCUMENTS FILED WITH THE SEC, AS WELL AS ANY SUPPLEMENTS THERETO, CAREFULLY AND IN THEIR ENTIRETY, BEFORE THEY MAKE ANY DECISION WITH RESPECT TO THE MERGER. The definitive proxy statement/prospectus, any supplements thereto and all other documents filed with the SEC in connection with the Merger are available free of charge on the SEC’s website (at www.sec.gov). Copies of documents filed with the SEC by the Company have been and will continue to be made available free of charge on the Company's investor relations website (at https://investor.uniti.com/financial-information/sec-filings).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2"/>
          <w:szCs w:val="12"/>
          <w:color w:val="auto"/>
        </w:rPr>
        <w:t>The Company, Windstream and their respective directors and certain of their executive officers and other employees may be deemed to be participants in the solicitation of proxies from the Company’s stockholders in connection with the Merger. Information about the Company’s directors and executive officers is set forth in the sections titled “Proposal No. 1 Election of Directors” and “Security Ownership of Certain Beneficial Owners and Management” included in the Company’s proxy statement for its 2024 annual meeting of stockholders, which was filed with the SEC on April 11, 2024 (and which is available at https://www.sec.gov/Archives/edgar/data/1620280/000110465924046100/0001104659-24-046100-index.htm), the section titled “Directors, Executive Officers and Corporate Governance” included in its Annual Report on Form 10-K for the fiscal year ended December 31, 2023, which was filed with the 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the Company stockholders in connection with the Merger, including a description of their direct or indirect interests, by security holdings or otherwise, is set forth in the definitive proxy statement/prospectus filed by New Uniti with the SEC (and which is available at https://www.sec.gov/Archives/edgar/data/1620280/000110465925012218/tm2412846-31_defm14a.htm)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2"/>
          <w:szCs w:val="12"/>
          <w:color w:val="auto"/>
        </w:rPr>
        <w:t>Certain statements in this Current Report on Form 8-K may constitute forward-looking statements within the meaning of the Private Securities Litigation Reform Act of 1995, as amended from time to time. Those forward-looking statements include all statements that are not historical statements of fact, including, without limitation, our 2025 financial outlook, expectations regarding lease-up of our network, strong demand trends, business strategies, growth prospects, and statements regarding the Merger and potential synergies, potential cost savings and the future performance of New Uniti (together with Windstream and Uniti, the “Merged Group”).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Merger (including expected benefits to shareholders of Uniti), expectations for the final capital structure, ongoing development and growth potential of the Merged Group and the future operation of Uniti, Windstream and the Merged Group.</w:t>
      </w:r>
    </w:p>
    <w:p>
      <w:pPr>
        <w:spacing w:after="0" w:line="1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Words such as "anticipate(s)," "expect(s)," "intend(s)," “estimate(s),” “foresee(s),” "plan(s)," "believe(s)," "may," "will," "would," "could," "should," "seek(s)," “appear(s),” “target(s),” “project(s),” “contemplate(s),” “predict(s),” “potential,” “continue(s)”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materially alter our expectations include, but are not limited to, the future prospects of Windstream, our largest customer; the ability and willingness of our customers to renew their leases with us upon their expiration, and the ability to reposition our properties on the same or better terms in the event of nonrenewal or in the event we replace an existing tenant; the availability of and our ability to identify suitable acquisition opportunities and our ability to acquire and lease the respective properties on favorable terms; the risk that we fail to fully realize the potential benefits of acquisitions or have difficulty integrating acquired companies; our ability to generate sufficient cash flows to service our outstanding indebtedness and fund our capital funding commitments; our ability to access debt and equity capital markets; the impact on our business or the business of our customers as a result of credit rating downgrades and fluctuating interest rates; our ability to retain our key management personnel; changes in the U.S. tax law and other state, federal or local laws, whether or not specific to real estate investment trusts; covenants in our debt agreements that may limit our operational flexibility; the possibility that we may experience equipment failures, natural disasters, cyber-attacks or terrorist attacks for which our insurance may not provide adequate coverage; other risks inherent in the communications industry and in the ownership of communications distribution systems, including potential liability relating to environmental matters and illiquidity of real estate investments; the satisfaction of the conditions precedent to the consummation of the Merger, including, without limitation, the receipt of shareholder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Uniti’s and Windstream’s ability to retain employees as a result of the announcement and pendency of the Merger; risks relating to the value of New Uniti’s securities to be issued in connection with the Merger; disruptions of Uniti’s and Windstream’s current plans, operations and relationships with customers caused by the announcement and pendency of the Merger; legal proceedings that may be instituted against Uniti or Windstream following announcement of the Merger; funding requirements; regulatory restrictions (including changes in regulatory restrictions or regulatory policy); and additional factors described in our reports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272415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3" w:name="page4"/>
    <w:bookmarkEnd w:id="3"/>
    <w:p>
      <w:pPr>
        <w:ind w:right="120"/>
        <w:spacing w:after="0" w:line="265" w:lineRule="auto"/>
        <w:rPr>
          <w:sz w:val="20"/>
          <w:szCs w:val="20"/>
          <w:color w:val="auto"/>
        </w:rPr>
      </w:pPr>
      <w:r>
        <w:rPr>
          <w:rFonts w:ascii="Times New Roman" w:cs="Times New Roman" w:eastAsia="Times New Roman" w:hAnsi="Times New Roman"/>
          <w:sz w:val="12"/>
          <w:szCs w:val="12"/>
          <w:color w:val="auto"/>
        </w:rPr>
        <w:t>There can be no assurance that the Merger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potential cost savings or expected synergies). See also “Additional Information and Where to Find 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forward-looking statements are based on information and estimates available at the time of this communication and are not guarantees of future performance.</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 Exhibits</w:t>
            </w: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80" w:type="dxa"/>
            <w:vAlign w:val="bottom"/>
          </w:tcPr>
          <w:p>
            <w:pPr>
              <w:spacing w:after="0"/>
              <w:rPr>
                <w:sz w:val="13"/>
                <w:szCs w:val="13"/>
                <w:color w:val="auto"/>
              </w:rPr>
            </w:pPr>
          </w:p>
        </w:tc>
      </w:tr>
      <w:tr>
        <w:trPr>
          <w:trHeight w:val="273"/>
        </w:trPr>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9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80" w:type="dxa"/>
            <w:vAlign w:val="bottom"/>
          </w:tcPr>
          <w:p>
            <w:pPr>
              <w:spacing w:after="0"/>
              <w:rPr>
                <w:sz w:val="23"/>
                <w:szCs w:val="23"/>
                <w:color w:val="auto"/>
              </w:rPr>
            </w:pPr>
          </w:p>
        </w:tc>
      </w:tr>
      <w:tr>
        <w:trPr>
          <w:trHeight w:val="159"/>
        </w:trPr>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80" w:type="dxa"/>
            <w:vAlign w:val="bottom"/>
          </w:tcPr>
          <w:p>
            <w:pPr>
              <w:ind w:left="13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60"/>
        </w:trPr>
        <w:tc>
          <w:tcPr>
            <w:tcW w:w="3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0000EE"/>
              </w:rPr>
              <w:t>Press Release issued February 21, 2025</w:t>
            </w: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68"/>
        </w:trPr>
        <w:tc>
          <w:tcPr>
            <w:tcW w:w="340" w:type="dxa"/>
            <w:vAlign w:val="bottom"/>
          </w:tcPr>
          <w:p>
            <w:pPr>
              <w:spacing w:after="0"/>
              <w:rPr>
                <w:sz w:val="23"/>
                <w:szCs w:val="23"/>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Windstream presentation regarding the period ended December 31, 2024</w:t>
            </w:r>
          </w:p>
        </w:tc>
        <w:tc>
          <w:tcPr>
            <w:tcW w:w="6680" w:type="dxa"/>
            <w:vAlign w:val="bottom"/>
          </w:tcPr>
          <w:p>
            <w:pPr>
              <w:spacing w:after="0"/>
              <w:rPr>
                <w:sz w:val="23"/>
                <w:szCs w:val="23"/>
                <w:color w:val="auto"/>
              </w:rPr>
            </w:pPr>
          </w:p>
        </w:tc>
      </w:tr>
      <w:tr>
        <w:trPr>
          <w:trHeight w:val="268"/>
        </w:trPr>
        <w:tc>
          <w:tcPr>
            <w:tcW w:w="340" w:type="dxa"/>
            <w:vAlign w:val="bottom"/>
          </w:tcPr>
          <w:p>
            <w:pPr>
              <w:spacing w:after="0"/>
              <w:rPr>
                <w:sz w:val="23"/>
                <w:szCs w:val="2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Windstream transcript regarding the period ended December 31, 2024</w:t>
            </w: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295"/>
        </w:trPr>
        <w:tc>
          <w:tcPr>
            <w:tcW w:w="34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32"/>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21, 2025</w:t>
            </w:r>
          </w:p>
        </w:tc>
        <w:tc>
          <w:tcPr>
            <w:tcW w:w="7900" w:type="dxa"/>
            <w:vAlign w:val="bottom"/>
            <w:gridSpan w:val="3"/>
          </w:tcPr>
          <w:p>
            <w:pPr>
              <w:ind w:left="2260"/>
              <w:spacing w:after="0"/>
              <w:rPr>
                <w:sz w:val="20"/>
                <w:szCs w:val="20"/>
                <w:color w:val="auto"/>
              </w:rPr>
            </w:pPr>
            <w:r>
              <w:rPr>
                <w:rFonts w:ascii="Times New Roman" w:cs="Times New Roman" w:eastAsia="Times New Roman" w:hAnsi="Times New Roman"/>
                <w:sz w:val="12"/>
                <w:szCs w:val="12"/>
                <w:color w:val="auto"/>
              </w:rPr>
              <w:t>UNITI GROUP INC.</w:t>
            </w:r>
          </w:p>
        </w:tc>
      </w:tr>
      <w:tr>
        <w:trPr>
          <w:trHeight w:val="288"/>
        </w:trPr>
        <w:tc>
          <w:tcPr>
            <w:tcW w:w="340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Times New Roman" w:cs="Times New Roman" w:eastAsia="Times New Roman" w:hAnsi="Times New Roman"/>
                <w:sz w:val="12"/>
                <w:szCs w:val="12"/>
                <w:color w:val="auto"/>
              </w:rPr>
              <w:t>By:   /s/ Daniel L. Heard</w:t>
            </w:r>
          </w:p>
        </w:tc>
      </w:tr>
      <w:tr>
        <w:trPr>
          <w:trHeight w:val="122"/>
        </w:trPr>
        <w:tc>
          <w:tcPr>
            <w:tcW w:w="34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Daniel L. Heard</w:t>
            </w:r>
          </w:p>
        </w:tc>
      </w:tr>
      <w:tr>
        <w:trPr>
          <w:trHeight w:val="155"/>
        </w:trPr>
        <w:tc>
          <w:tcPr>
            <w:tcW w:w="34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Executive Vice President – General Counsel and Secretary</w:t>
            </w:r>
          </w:p>
        </w:tc>
      </w:tr>
      <w:tr>
        <w:trPr>
          <w:trHeight w:val="432"/>
        </w:trPr>
        <w:tc>
          <w:tcPr>
            <w:tcW w:w="3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ind w:left="10648"/>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30302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514350"/>
                    </a:xfrm>
                    <a:prstGeom prst="rect">
                      <a:avLst/>
                    </a:prstGeom>
                    <a:noFill/>
                  </pic:spPr>
                </pic:pic>
              </a:graphicData>
            </a:graphic>
          </wp:anchor>
        </w:drawing>
      </w:r>
    </w:p>
    <w:p>
      <w:pPr>
        <w:spacing w:after="0" w:line="364" w:lineRule="exact"/>
        <w:rPr>
          <w:sz w:val="20"/>
          <w:szCs w:val="20"/>
          <w:color w:val="auto"/>
        </w:rPr>
      </w:pPr>
    </w:p>
    <w:p>
      <w:pPr>
        <w:ind w:left="10608"/>
        <w:spacing w:after="0"/>
        <w:rPr>
          <w:sz w:val="20"/>
          <w:szCs w:val="20"/>
          <w:color w:val="auto"/>
        </w:rPr>
      </w:pPr>
      <w:r>
        <w:rPr>
          <w:rFonts w:ascii="Times New Roman" w:cs="Times New Roman" w:eastAsia="Times New Roman" w:hAnsi="Times New Roman"/>
          <w:sz w:val="12"/>
          <w:szCs w:val="12"/>
          <w:b w:val="1"/>
          <w:bCs w:val="1"/>
          <w:color w:val="auto"/>
        </w:rPr>
        <w:t>Press Release</w:t>
      </w:r>
    </w:p>
    <w:p>
      <w:pPr>
        <w:spacing w:after="0" w:line="154" w:lineRule="exact"/>
        <w:rPr>
          <w:sz w:val="20"/>
          <w:szCs w:val="20"/>
          <w:color w:val="auto"/>
        </w:rPr>
      </w:pPr>
    </w:p>
    <w:p>
      <w:pPr>
        <w:ind w:left="9728"/>
        <w:spacing w:after="0"/>
        <w:rPr>
          <w:sz w:val="20"/>
          <w:szCs w:val="20"/>
          <w:color w:val="auto"/>
        </w:rPr>
      </w:pPr>
      <w:r>
        <w:rPr>
          <w:rFonts w:ascii="Times New Roman" w:cs="Times New Roman" w:eastAsia="Times New Roman" w:hAnsi="Times New Roman"/>
          <w:sz w:val="12"/>
          <w:szCs w:val="12"/>
          <w:color w:val="auto"/>
        </w:rPr>
        <w:t>Release date: 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Uniti Group Inc. Reports Fourth Quarter and Full Year 2024 Results</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i w:val="1"/>
          <w:iCs w:val="1"/>
          <w:color w:val="auto"/>
        </w:rPr>
        <w:t>Recently Completed Landmark ABS Financing Provides Attractive Alternative Source of</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i w:val="1"/>
          <w:iCs w:val="1"/>
          <w:color w:val="auto"/>
        </w:rPr>
        <w:t>Capital While Further Strengthening Uniti’s Balance Sheet</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i w:val="1"/>
          <w:iCs w:val="1"/>
          <w:color w:val="auto"/>
        </w:rPr>
        <w:t>Provides Initial 2025 Outlook</w:t>
      </w:r>
    </w:p>
    <w:p>
      <w:pPr>
        <w:spacing w:after="0" w:line="150"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Income of $21.6 Million and $93.4 Million for the Fourth Quarter and Full Year, Respectively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Income of $0.09 and $0.38 Per Diluted Common Share for the Fourth Quarter and Full Year, Respectively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AFFO of $0.35 and $1.35 Per Diluted Common Share for the Fourth Quarter and Full Year,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LITTLE ROCK, Ark., February 21, 2025 (GLOBE NEWSWIRE) – Uniti Group Inc. (“Uniti” or the “Company”) (Nasdaq: UNIT) today announced its results for the fourth quarter and full year 2024.</w:t>
      </w:r>
    </w:p>
    <w:p>
      <w:pPr>
        <w:spacing w:after="0" w:line="150"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“2024 was a transformational year for Uniti with the announcement of our upcoming merger with Windstream, solid growth across our business segments, and continued work to improve and strengthen our balance sheet. Our core recurring strategic fiber revenue grew approximately 5% in 2024 when compared to 2023, consolidated bookings were up 40% during the fourth quarter when compared to the same period last year, and the capital intensity of our fiber business continues to decline. Strategically, Uniti is uniquely well positioned to benefit from the emerging themes related to Generative AI and convergence, both of which put a premium demand on our mission critical fiber infrastructure,” commented President and Chief Executive Officer, Kenny Gunderman.</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Mr. Gunderman continued, “Turning to our balance sheet, we continue to work diligently to enhance and strengthen our capital structure prior to completing the merger with Windstream. We recently completed our landmark inaugural ABS transaction that provides Uniti with an attractive source of capital, and used a portion of those proceeds to redeem some of our most expensive debt. Also, together with recent refinancing activity at Windstream, we have successfully pushed out a meaningful portion of the combined company’s upcoming debt maturities, specifically those that were set to mature in 2028. Finally, we continue to make meaningful progress on our merger with Windstream and remain on track to close the transaction by the second half of 2025.”</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QUARTERLY RESULTS</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Consolidated revenues for the fourth quarter of 2024 were $293.3 million. Net income and Adjusted EBITDA were $21.6 million and $239.5 million, respectively, for the same period, achieving Adjusted EBITDA margins of approximately 82%. Net income attributable to common shares was $21.0 million for the period. AFFO attributable to common shareholders was $92.0 million, or $0.35 per diluted common share.</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Uniti Fiber contributed $71.7 million of revenues and $31.1 million of Adjusted EBITDA for the fourth quarter of 2024, achieving Adjusted EBITDA margins of approximately 43%.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Uniti Leasing contributed revenues of $221.7 million and Adjusted EBITDA of $214.5 million for the fourth quarter.</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Combined gross capital expenditures for both Uniti Fiber and Uniti Leasing were $24.3 million during the fourth quarter of 2024, which was offset by upfront customer payments totaling $23.6 million, resulting in net success-based capex of $0.7 million for the quarter.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RESULTS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Consolidated revenues for the year ended December 31, 2024 were $1.2 billion. Net income and Adjusted EBITDA were $93.4 million and $940.1 million, respectively, for the same period. Net income attributable to common shares was $91.3 million for the period. AFFO attributable to common shareholders was $358.9 million, or $1.35 per diluted common share.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Uniti Fiber contributed $286.4 million of revenues and $111.6 million of Adjusted EBITDA for the full year of 2024, achieving Adjusted EBITDA margins of approximately 39%. Uniti Fiber’s net success-based capital expenditures for the full year of 2024 were $69.3 million, representing capital intensity of 24%.</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Uniti Leasing contributed revenues of $880.5 million and Adjusted EBITDA of $851.2 million for the full year of 2024. Uniti Leasing’s net success-based capital expenditures for the full year of 2024 were $242.8 million, including $230.8 million of GCI capex.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 TRANSACTIONS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February 3, 2025, Uniti announced that it had closed on its previously announced inaugural $589 million fiber securitization notes offering (collectively, the “Series 2025-1 Term Notes”). The Series 2025-1 Term Notes have a weighted average yield of approximately 6.5% and will be secured by certain fiber network assets and related customer contracts in the State of Florida and the Gulf Coast region of Louisiana, Mississippi and Alabama.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Uniti used a portion of the net proceeds to repay and terminate its existing ABS bridge facility, and to redeem $125 million aggregate principal amount of its outstanding 10.50% senior secured notes due 2028.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year-end, the Company had approximately $655.6 million of unrestricted cash and cash equivalents, and undrawn borrowing availability under its revolving credit agreement. The Company’s leverage ratio at year-end was 5.80x based on net debt to fourth quarter 2024 annualized Adjusted EBITDA, excluding the debt and the net contributions from the ABS facilities.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2025 OUTLOOK</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2025 outlook includes the estimated impact from the recent ABS financing and partial redemption of the 10.50% senior secured notes due 2028. Our outlook excludes any impact from the expected merger with Windstream, future acquisitions, capital market transactions, and future transaction-related and other costs not mentioned herein.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7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Company’s consolidated outlook for 2025 is as follows (in millions):</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24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Full Year 2025</w:t>
            </w: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33"/>
        </w:trPr>
        <w:tc>
          <w:tcPr>
            <w:tcW w:w="78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1,196</w:t>
            </w:r>
          </w:p>
        </w:tc>
        <w:tc>
          <w:tcPr>
            <w:tcW w:w="8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to</w:t>
            </w:r>
          </w:p>
        </w:tc>
        <w:tc>
          <w:tcPr>
            <w:tcW w:w="540" w:type="dxa"/>
            <w:vAlign w:val="bottom"/>
            <w:shd w:val="clear" w:color="auto" w:fill="CCEE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1,216</w:t>
            </w:r>
          </w:p>
        </w:tc>
        <w:tc>
          <w:tcPr>
            <w:tcW w:w="120" w:type="dxa"/>
            <w:vAlign w:val="bottom"/>
            <w:shd w:val="clear" w:color="auto" w:fill="CCEEFF"/>
          </w:tcPr>
          <w:p>
            <w:pPr>
              <w:spacing w:after="0"/>
              <w:rPr>
                <w:sz w:val="11"/>
                <w:szCs w:val="11"/>
                <w:color w:val="auto"/>
              </w:rPr>
            </w:pPr>
          </w:p>
        </w:tc>
      </w:tr>
      <w:tr>
        <w:trPr>
          <w:trHeight w:val="144"/>
        </w:trPr>
        <w:tc>
          <w:tcPr>
            <w:tcW w:w="7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income attributable to common shareholders</w:t>
            </w: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w:t>
            </w:r>
          </w:p>
        </w:tc>
      </w:tr>
      <w:tr>
        <w:trPr>
          <w:trHeight w:val="171"/>
        </w:trPr>
        <w:tc>
          <w:tcPr>
            <w:tcW w:w="78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Adjusted EBITDA </w:t>
            </w:r>
            <w:r>
              <w:rPr>
                <w:rFonts w:ascii="Times New Roman" w:cs="Times New Roman" w:eastAsia="Times New Roman" w:hAnsi="Times New Roman"/>
                <w:sz w:val="19"/>
                <w:szCs w:val="19"/>
                <w:color w:val="auto"/>
                <w:vertAlign w:val="superscript"/>
              </w:rPr>
              <w:t>(1)</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986</w:t>
            </w:r>
          </w:p>
        </w:tc>
      </w:tr>
      <w:tr>
        <w:trPr>
          <w:trHeight w:val="171"/>
        </w:trPr>
        <w:tc>
          <w:tcPr>
            <w:tcW w:w="7800" w:type="dxa"/>
            <w:vAlign w:val="bottom"/>
            <w:gridSpan w:val="3"/>
          </w:tcPr>
          <w:p>
            <w:pPr>
              <w:spacing w:after="0" w:line="171" w:lineRule="exact"/>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9"/>
                <w:szCs w:val="19"/>
                <w:color w:val="auto"/>
                <w:vertAlign w:val="superscript"/>
              </w:rPr>
              <w:t>(2)</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532</w:t>
            </w:r>
          </w:p>
        </w:tc>
      </w:tr>
      <w:tr>
        <w:trPr>
          <w:trHeight w:val="144"/>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Attributable to common shareholders:</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1"/>
        </w:trPr>
        <w:tc>
          <w:tcPr>
            <w:tcW w:w="7800" w:type="dxa"/>
            <w:vAlign w:val="bottom"/>
            <w:gridSpan w:val="3"/>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FFO </w:t>
            </w:r>
            <w:r>
              <w:rPr>
                <w:rFonts w:ascii="Times New Roman" w:cs="Times New Roman" w:eastAsia="Times New Roman" w:hAnsi="Times New Roman"/>
                <w:sz w:val="19"/>
                <w:szCs w:val="19"/>
                <w:color w:val="auto"/>
                <w:vertAlign w:val="superscript"/>
              </w:rPr>
              <w:t>(1)</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342</w:t>
            </w:r>
          </w:p>
        </w:tc>
      </w:tr>
      <w:tr>
        <w:trPr>
          <w:trHeight w:val="171"/>
        </w:trPr>
        <w:tc>
          <w:tcPr>
            <w:tcW w:w="7800" w:type="dxa"/>
            <w:vAlign w:val="bottom"/>
            <w:gridSpan w:val="3"/>
            <w:shd w:val="clear" w:color="auto" w:fill="CCEEFF"/>
          </w:tcPr>
          <w:p>
            <w:pPr>
              <w:ind w:left="40"/>
              <w:spacing w:after="0" w:line="171" w:lineRule="exact"/>
              <w:rPr>
                <w:sz w:val="20"/>
                <w:szCs w:val="20"/>
                <w:color w:val="auto"/>
              </w:rPr>
            </w:pPr>
            <w:r>
              <w:rPr>
                <w:rFonts w:ascii="Times New Roman" w:cs="Times New Roman" w:eastAsia="Times New Roman" w:hAnsi="Times New Roman"/>
                <w:sz w:val="12"/>
                <w:szCs w:val="12"/>
                <w:color w:val="auto"/>
              </w:rPr>
              <w:t xml:space="preserve">AFFO </w:t>
            </w:r>
            <w:r>
              <w:rPr>
                <w:rFonts w:ascii="Times New Roman" w:cs="Times New Roman" w:eastAsia="Times New Roman" w:hAnsi="Times New Roman"/>
                <w:sz w:val="19"/>
                <w:szCs w:val="19"/>
                <w:color w:val="auto"/>
                <w:vertAlign w:val="superscript"/>
              </w:rPr>
              <w:t>(1)</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389</w:t>
            </w:r>
          </w:p>
        </w:tc>
      </w:tr>
      <w:tr>
        <w:trPr>
          <w:trHeight w:val="144"/>
        </w:trPr>
        <w:tc>
          <w:tcPr>
            <w:tcW w:w="2820" w:type="dxa"/>
            <w:vAlign w:val="bottom"/>
            <w:gridSpan w:val="2"/>
          </w:tcPr>
          <w:p>
            <w:pPr>
              <w:spacing w:after="0"/>
              <w:rPr>
                <w:sz w:val="12"/>
                <w:szCs w:val="12"/>
                <w:color w:val="auto"/>
              </w:rPr>
            </w:pPr>
          </w:p>
        </w:tc>
        <w:tc>
          <w:tcPr>
            <w:tcW w:w="4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 diluted</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to</w:t>
            </w:r>
          </w:p>
        </w:tc>
        <w:tc>
          <w:tcPr>
            <w:tcW w:w="5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280</w:t>
            </w:r>
          </w:p>
        </w:tc>
      </w:tr>
      <w:tr>
        <w:trPr>
          <w:trHeight w:val="162"/>
        </w:trPr>
        <w:tc>
          <w:tcPr>
            <w:tcW w:w="240" w:type="dxa"/>
            <w:vAlign w:val="bottom"/>
          </w:tcPr>
          <w:p>
            <w:pPr>
              <w:spacing w:after="0"/>
              <w:rPr>
                <w:sz w:val="14"/>
                <w:szCs w:val="14"/>
                <w:color w:val="auto"/>
              </w:rPr>
            </w:pPr>
          </w:p>
        </w:tc>
        <w:tc>
          <w:tcPr>
            <w:tcW w:w="756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1"/>
        </w:trPr>
        <w:tc>
          <w:tcPr>
            <w:tcW w:w="240" w:type="dxa"/>
            <w:vAlign w:val="bottom"/>
            <w:tcBorders>
              <w:top w:val="single" w:sz="8" w:color="auto"/>
            </w:tcBorders>
          </w:tcPr>
          <w:p>
            <w:pPr>
              <w:spacing w:after="0" w:line="132" w:lineRule="exact"/>
              <w:rPr>
                <w:sz w:val="20"/>
                <w:szCs w:val="20"/>
                <w:color w:val="auto"/>
              </w:rPr>
            </w:pPr>
            <w:r>
              <w:rPr>
                <w:rFonts w:ascii="Times New Roman" w:cs="Times New Roman" w:eastAsia="Times New Roman" w:hAnsi="Times New Roman"/>
                <w:sz w:val="12"/>
                <w:szCs w:val="12"/>
                <w:color w:val="auto"/>
              </w:rPr>
              <w:t>(1)</w:t>
            </w:r>
          </w:p>
        </w:tc>
        <w:tc>
          <w:tcPr>
            <w:tcW w:w="2580" w:type="dxa"/>
            <w:vAlign w:val="bottom"/>
            <w:tcBorders>
              <w:top w:val="single" w:sz="8" w:color="auto"/>
            </w:tcBorders>
          </w:tcPr>
          <w:p>
            <w:pPr>
              <w:ind w:left="100"/>
              <w:spacing w:after="0" w:line="132" w:lineRule="exact"/>
              <w:rPr>
                <w:sz w:val="20"/>
                <w:szCs w:val="20"/>
                <w:color w:val="auto"/>
              </w:rPr>
            </w:pPr>
            <w:r>
              <w:rPr>
                <w:rFonts w:ascii="Times New Roman" w:cs="Times New Roman" w:eastAsia="Times New Roman" w:hAnsi="Times New Roman"/>
                <w:sz w:val="12"/>
                <w:szCs w:val="12"/>
                <w:color w:val="auto"/>
              </w:rPr>
              <w:t>See “Non-GAAP Financial Measures” below.</w:t>
            </w:r>
          </w:p>
        </w:tc>
        <w:tc>
          <w:tcPr>
            <w:tcW w:w="4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See “Components of Interest Expense” below.</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Uniti will hold a conference call today to discuss this earnings release at 8:30 AM Eastern Time (7:30 AM Central Time). The conference call will be webcast live on Uniti’s Investor Relations website at </w:t>
      </w:r>
      <w:r>
        <w:rPr>
          <w:rFonts w:ascii="Times New Roman" w:cs="Times New Roman" w:eastAsia="Times New Roman" w:hAnsi="Times New Roman"/>
          <w:sz w:val="12"/>
          <w:szCs w:val="12"/>
          <w:u w:val="single" w:color="auto"/>
          <w:color w:val="auto"/>
        </w:rPr>
        <w:t>investor.uniti.com</w:t>
      </w:r>
      <w:r>
        <w:rPr>
          <w:rFonts w:ascii="Times New Roman" w:cs="Times New Roman" w:eastAsia="Times New Roman" w:hAnsi="Times New Roman"/>
          <w:sz w:val="12"/>
          <w:szCs w:val="12"/>
          <w:color w:val="auto"/>
        </w:rPr>
        <w:t xml:space="preserve">. Those parties interested in participating via telephone may register on the Company’s Investor Relations website or by clicking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 A replay of the call will also be made available on the Investor Relations website.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UNITI</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 xml:space="preserve">Uniti, an internally managed real estate investment trust, is engaged in the acquisition and construction of mission critical communications infrastructure, and is a leading provider of fiber and other wireless solutions for the communications industry. As of December 31, 2024, Uniti owns approximately 145,000 fiber route miles, 8.8 million fiber strand miles, and other communications real estate throughout the United States. Additional information about Uniti can be found on its website at </w:t>
      </w:r>
      <w:r>
        <w:rPr>
          <w:rFonts w:ascii="Times New Roman" w:cs="Times New Roman" w:eastAsia="Times New Roman" w:hAnsi="Times New Roman"/>
          <w:sz w:val="12"/>
          <w:szCs w:val="12"/>
          <w:u w:val="single" w:color="auto"/>
          <w:color w:val="auto"/>
        </w:rPr>
        <w:t>www.uniti.com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Holdings II (“Windstream”) or Windstream Parent, Inc., the proposed combined company following the closing of the Merger (as defined below)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contemplated merger (the “Merger”), New Uniti has filed a registration statement on Form S-4 with the SEC, as amended (No. 333-281068), which was declared effective by the SEC on February 12, 2025 and contains a definitive proxy statement/prospectus and other documents. The definitive proxy statement/prospectus was mailed to stockholders of Uniti seeking their approval of the transaction-related proposals. This communication is not a substitute for any registration statement, proxy statement/prospectus or other documents that have been or may be filed with the SEC in connection with the Merger.</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DEFINITIVE PROXY STATEMENT/PROSPECTUS AND OTHER DOCUMENTS FILED WITH THE SEC IN CONNECTION WITH THE MERGER CONTAIN IMPORTANT INFORMATION ABOUT UNITI, WINDSTREAM, NEW UNITI, THE MERGER AND RELATED MATTERS. INVESTORS SHOULD READ THE DEFINITIVE PROXY STATEMENT/PROSPECTUS AND SUCH OTHER DOCUMENTS FILED WITH THE SEC, AS WELL AS ANY SUPPLEMENTS THERETO, CAREFULLY AND IN THEIR ENTIRETY BEFORE THEY MAKE ANY DECISION WITH RESPECT TO THE MERGER. The definitive proxy statement/prospectus, any supplements thereto and all other documents filed with the SEC in connection with the Merger are available free of charge on the SEC’s website (at www.sec.gov). Copies of documents filed with the SEC by Uniti have been and will continue to be made available free of charge on Uniti's investor relations website (at https://investor.uniti.com/financial-information/sec-filings).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Uniti, Windstream and their respective directors and certain of their executive officers and other employees may be deemed to be participants in the solicitation of proxies from Uniti’s stockholders in connection with the Merger. Information about Uniti’s directors and executive officers is set forth in the sections titled “Proposal No. 1 Election of Directors” and “Security Ownership of Certain Beneficial Owners and Management” included in Uniti’s proxy statement for its 2024 annual meeting of stockholders, which was filed with the SEC on April 11, 2024 (and which is available at https://www.sec.gov/Archives/edgar/data/1620280/000110465924046100/0001104659-24-046100-index.htm), the section titled “Directors, Executive Officers and Corporate Governance” included in its Annual Report on Form 10-K for the fiscal year ended December 31, 2023, which was filed with the 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Merger, including a description of their direct or indirect interests, by security holdings or otherwise, is set forth in the definitive proxy statement/prospectus filed by Uniti with the SEC (and which is available at https://www.sec.gov/Archives/edgar/data/1620280/000110465925012218/tm2412846-31_defm14a.htm).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i w:val="1"/>
          <w:iCs w:val="1"/>
          <w:color w:val="auto"/>
        </w:rPr>
        <w:t>Certain statements in this press release and today’s conference call may constitute forward-looking statements within the meaning of the Private Securities Litigation Reform Act of 1995, as amended from time to time. Those forward-looking statements include all statements that are not historical statements of fact, including, without limitation, our 2025 financial outlook, expectations regarding lease-up of our network, strong demand trends, business strategies, growth prospects, and statements regarding the Merger and potential synergies, potential cost savings and the future performance of New Uniti (together with Windstream and Uniti, the “Merged Group”).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Merger (including expected benefits to shareholders of Uniti), expectations for the final capital structure, ongoing development and growth potential of the Merged Group and the future operation of Uniti, Windstream and the Merged Group.</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2"/>
          <w:szCs w:val="12"/>
          <w:i w:val="1"/>
          <w:iCs w:val="1"/>
          <w:color w:val="auto"/>
        </w:rPr>
        <w:t>Words such as "anticipate(s)," "expect(s)," "intend(s)," “estimate(s),” “foresee(s),” "plan(s)," "believe(s)," "may," "will," "would," "could," "should," "seek(s)," “appear(s),” “target(s),” “project(s),” “contemplate(s),” “predict(s),” “potential,” “continue(s)”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materially alter our expectations include, but are not limited to, the future prospects of Windstream, our largest customer; the ability and willingness of our customers to renew their leases with us upon their expiration, and the ability to reposition our properties on the same or better terms in the event of nonrenewal or in the event we replace an existing tenant; the availability of and our ability to identify suitable acquisition opportunities and our ability to acquire and lease the respective properties on favorable terms; the risk that we fail to fully realize the potential benefits of acquisitions or have difficulty integrating acquired companies; our ability to generate sufficient cash flows to service our outstanding indebtedness and fund our capital funding commitments; our ability to access debt and equity capital markets; the impact on our business or the business of our customers as a result of credit rating downgrades and fluctuating interest rates; our ability to retain our key management personnel; changes in the U.S. tax law and other state, federal or local laws, whether or not specific to real estate investment trusts; covenants in our debt agreements that may limit our operational flexibility; the possibility that we may experience equipment failures, natural disasters, cyber-attacks or terrorist attacks for which our insurance may not provide adequate coverage; other risks inherent in the communications industry and in the ownership of communications distribution systems, including potential liability relating to environmental matters and illiquidity of real estate investments; the satisfaction of the conditions precedent to the consummation of the Merger, including, without limitation, the receipt of shareholder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Uniti’s and Windstream’s ability to retain employees as a result of the announcement and pendency of the Merger; risks relating to the value of New Uniti’s securities to be issued in connection with the Merger; disruptions of Uniti’s and Windstream’s current plans, operations and relationships with customers caused by the announcement and pendency of the Merger; legal proceedings that may be instituted against Uniti or Windstream following announcement of the Merger; funding requirements; regulatory restrictions (including changes in regulatory restrictions or regulatory policy); and additional factors described in our reports filed with the SEC, including Uniti’s annual report on Form 10-K, periodic quarterly reports on Form 10-Q, periodic current reports on Form 8-K and other documents filed with the SEC.</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There can be no assurance that the Merger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potential cost savings or expected synergies). See also “Additional Information and Where to Find it.”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i w:val="1"/>
          <w:iCs w:val="1"/>
          <w:color w:val="auto"/>
        </w:rPr>
        <w:t>All forward-looking statements are based on information and estimates available at the time of this communication and are not guarantees of future performance.</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PRESENTATION</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This release and today’s conference call contain certain supplemental measures of performance that are not required by, or presented in accordance with, accounting principles generally accepted in the United States (“GAAP”). Such measures should not be considered as alternatives to GAAP. Further information with respect to and reconciliations of such measures to the nearest GAAP measure can be found herein.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1" w:name="page12"/>
    <w:bookmarkEnd w:id="1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cash and cash equivalents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Straight-line revenue receivable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Operating lease right-of-use assets,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income tax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Assets held for sale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Derivative asset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Assets</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Times New Roman" w:cs="Times New Roman" w:eastAsia="Times New Roman" w:hAnsi="Times New Roman"/>
          <w:sz w:val="12"/>
          <w:szCs w:val="12"/>
          <w:b w:val="1"/>
          <w:bCs w:val="1"/>
          <w:color w:val="auto"/>
        </w:rPr>
        <w:t>Uniti Group Inc.</w:t>
      </w:r>
    </w:p>
    <w:p>
      <w:pPr>
        <w:spacing w:after="0" w:line="21"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18" w:lineRule="exact"/>
        <w:rPr>
          <w:sz w:val="20"/>
          <w:szCs w:val="20"/>
          <w:color w:val="auto"/>
        </w:rPr>
      </w:pPr>
    </w:p>
    <w:tbl>
      <w:tblPr>
        <w:tblLayout w:type="fixed"/>
        <w:tblInd w:w="3780" w:type="dxa"/>
        <w:tblCellMar>
          <w:top w:w="0" w:type="dxa"/>
          <w:left w:w="0" w:type="dxa"/>
          <w:bottom w:w="0" w:type="dxa"/>
          <w:right w:w="0" w:type="dxa"/>
        </w:tblCellMar>
      </w:tblPr>
      <w:tr>
        <w:trPr>
          <w:trHeight w:val="153"/>
        </w:trPr>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66"/>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4,209,747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3,982,069</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155,593</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62,264</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28,254</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51,418</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46,358</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157,380</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157,380</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275,414</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305,115</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108,870</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90,988</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126,791</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125,105</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40,556</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118,117</w:t>
            </w:r>
          </w:p>
        </w:tc>
      </w:tr>
      <w:tr>
        <w:trPr>
          <w:trHeight w:val="144"/>
        </w:trPr>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128,045</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109,128</w:t>
            </w:r>
          </w:p>
        </w:tc>
      </w:tr>
      <w:tr>
        <w:trPr>
          <w:trHeight w:val="153"/>
        </w:trPr>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28,605</w:t>
            </w:r>
          </w:p>
        </w:tc>
      </w:tr>
      <w:tr>
        <w:trPr>
          <w:trHeight w:val="155"/>
        </w:trPr>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5,282,145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5,025,129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-1319530</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-1130935</wp:posOffset>
            </wp:positionV>
            <wp:extent cx="7178040"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-948055</wp:posOffset>
            </wp:positionV>
            <wp:extent cx="71780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-765175</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-582295</wp:posOffset>
            </wp:positionV>
            <wp:extent cx="71780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-399415</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-216535</wp:posOffset>
            </wp:positionV>
            <wp:extent cx="717804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80" w:space="720"/>
            <w:col w:w="6600"/>
          </w:cols>
          <w:pgMar w:left="300" w:top="647" w:right="299" w:bottom="1440" w:gutter="0" w:footer="0" w:header="0"/>
        </w:sectPr>
      </w:pPr>
    </w:p>
    <w:tbl>
      <w:tblPr>
        <w:tblLayout w:type="fixed"/>
        <w:tblInd w:w="0" w:type="dxa"/>
        <w:tblCellMar>
          <w:top w:w="0" w:type="dxa"/>
          <w:left w:w="0" w:type="dxa"/>
          <w:bottom w:w="0" w:type="dxa"/>
          <w:right w:w="0" w:type="dxa"/>
        </w:tblCellMar>
      </w:tblPr>
      <w:tr>
        <w:trPr>
          <w:trHeight w:val="124"/>
        </w:trPr>
        <w:tc>
          <w:tcPr>
            <w:tcW w:w="5140" w:type="dxa"/>
            <w:vAlign w:val="bottom"/>
            <w:shd w:val="clear" w:color="auto" w:fill="CCEEFF"/>
          </w:tcPr>
          <w:p>
            <w:pPr>
              <w:spacing w:after="0"/>
              <w:rPr>
                <w:sz w:val="10"/>
                <w:szCs w:val="10"/>
                <w:color w:val="auto"/>
              </w:rPr>
            </w:pPr>
          </w:p>
        </w:tc>
        <w:tc>
          <w:tcPr>
            <w:tcW w:w="3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Deficit</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accrued expenses and other liabilities, net</w:t>
            </w:r>
          </w:p>
        </w:tc>
        <w:tc>
          <w:tcPr>
            <w:tcW w:w="374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89,688</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119,340</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 payable</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71,785</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163,583</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Intangible liabilities, net</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145,703</w:t>
            </w:r>
          </w:p>
        </w:tc>
        <w:tc>
          <w:tcPr>
            <w:tcW w:w="3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156,397</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interest payable</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143,901</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133,683</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1,400,952</w:t>
            </w:r>
          </w:p>
        </w:tc>
        <w:tc>
          <w:tcPr>
            <w:tcW w:w="3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1,273,661</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payable</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665</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36,162</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80,504</w:t>
            </w:r>
          </w:p>
        </w:tc>
        <w:tc>
          <w:tcPr>
            <w:tcW w:w="3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84,404</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obligations</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17,190</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18,110</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Notes and other debt, net</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5,783,597</w:t>
            </w:r>
          </w:p>
        </w:tc>
        <w:tc>
          <w:tcPr>
            <w:tcW w:w="3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5,523,579</w:t>
            </w: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 held for sale</w:t>
            </w:r>
          </w:p>
        </w:tc>
        <w:tc>
          <w:tcPr>
            <w:tcW w:w="3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331</w:t>
            </w:r>
          </w:p>
        </w:tc>
      </w:tr>
      <w:tr>
        <w:trPr>
          <w:trHeight w:val="133"/>
        </w:trPr>
        <w:tc>
          <w:tcPr>
            <w:tcW w:w="51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33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7,733,985</w:t>
            </w:r>
          </w:p>
        </w:tc>
        <w:tc>
          <w:tcPr>
            <w:tcW w:w="2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7,509,250</w:t>
            </w:r>
          </w:p>
        </w:tc>
        <w:tc>
          <w:tcPr>
            <w:tcW w:w="120" w:type="dxa"/>
            <w:vAlign w:val="bottom"/>
            <w:tcBorders>
              <w:bottom w:val="single" w:sz="8" w:color="CCEEFF"/>
            </w:tcBorders>
          </w:tcPr>
          <w:p>
            <w:pPr>
              <w:spacing w:after="0"/>
              <w:rPr>
                <w:sz w:val="11"/>
                <w:szCs w:val="11"/>
                <w:color w:val="auto"/>
              </w:rPr>
            </w:pPr>
          </w:p>
        </w:tc>
      </w:tr>
      <w:tr>
        <w:trPr>
          <w:trHeight w:val="133"/>
        </w:trPr>
        <w:tc>
          <w:tcPr>
            <w:tcW w:w="514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4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 $ 0.0001 par value, 50,000 shares authorized, no shares issued and outstanding</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Common stock, $ 0.0001 par value, 500,000 shares authorized, issued</w:t>
            </w:r>
          </w:p>
        </w:tc>
        <w:tc>
          <w:tcPr>
            <w:tcW w:w="3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and outstanding: 237,513 shares at December 31, 2024 and 236,559 shares at December 31, 2023</w:t>
            </w:r>
          </w:p>
        </w:tc>
        <w:tc>
          <w:tcPr>
            <w:tcW w:w="3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w:t>
            </w:r>
          </w:p>
        </w:tc>
        <w:tc>
          <w:tcPr>
            <w:tcW w:w="3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1,236,045</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1,221,824</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(634)</w:t>
            </w:r>
          </w:p>
        </w:tc>
        <w:tc>
          <w:tcPr>
            <w:tcW w:w="3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in excess of accumulated earnings</w:t>
            </w:r>
          </w:p>
        </w:tc>
        <w:tc>
          <w:tcPr>
            <w:tcW w:w="3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(3,687,808)</w:t>
            </w:r>
          </w:p>
        </w:tc>
        <w:tc>
          <w:tcPr>
            <w:tcW w:w="3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(3,708,240)</w:t>
            </w: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Uniti shareholders’ deficit</w:t>
            </w:r>
          </w:p>
        </w:tc>
        <w:tc>
          <w:tcPr>
            <w:tcW w:w="33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(2,452,373)</w:t>
            </w: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(2,486,392)</w:t>
            </w:r>
          </w:p>
        </w:tc>
        <w:tc>
          <w:tcPr>
            <w:tcW w:w="120" w:type="dxa"/>
            <w:vAlign w:val="bottom"/>
          </w:tcPr>
          <w:p>
            <w:pPr>
              <w:spacing w:after="0"/>
              <w:rPr>
                <w:sz w:val="11"/>
                <w:szCs w:val="11"/>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 – operating partnership units and non-voting convertible preferred stock</w:t>
            </w:r>
          </w:p>
        </w:tc>
        <w:tc>
          <w:tcPr>
            <w:tcW w:w="3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w:t>
            </w:r>
          </w:p>
        </w:tc>
        <w:tc>
          <w:tcPr>
            <w:tcW w:w="3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2,271</w:t>
            </w:r>
          </w:p>
        </w:tc>
      </w:tr>
      <w:tr>
        <w:trPr>
          <w:trHeight w:val="133"/>
        </w:trPr>
        <w:tc>
          <w:tcPr>
            <w:tcW w:w="51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shareholders’ deficit</w:t>
            </w:r>
          </w:p>
        </w:tc>
        <w:tc>
          <w:tcPr>
            <w:tcW w:w="33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(2,451,840)</w:t>
            </w:r>
          </w:p>
        </w:tc>
        <w:tc>
          <w:tcPr>
            <w:tcW w:w="2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(2,484,121)</w:t>
            </w:r>
          </w:p>
        </w:tc>
        <w:tc>
          <w:tcPr>
            <w:tcW w:w="120" w:type="dxa"/>
            <w:vAlign w:val="bottom"/>
            <w:tcBorders>
              <w:bottom w:val="single" w:sz="8" w:color="CCEEFF"/>
            </w:tcBorders>
          </w:tcPr>
          <w:p>
            <w:pPr>
              <w:spacing w:after="0"/>
              <w:rPr>
                <w:sz w:val="11"/>
                <w:szCs w:val="11"/>
                <w:color w:val="auto"/>
              </w:rPr>
            </w:pPr>
          </w:p>
        </w:tc>
      </w:tr>
      <w:tr>
        <w:trPr>
          <w:trHeight w:val="162"/>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Deficit</w:t>
            </w:r>
          </w:p>
        </w:tc>
        <w:tc>
          <w:tcPr>
            <w:tcW w:w="33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5,282,145</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5,025,129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419"/>
        </w:trPr>
        <w:tc>
          <w:tcPr>
            <w:tcW w:w="5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2740"/>
              <w:spacing w:after="0"/>
              <w:rPr>
                <w:sz w:val="20"/>
                <w:szCs w:val="20"/>
                <w:color w:val="auto"/>
              </w:rPr>
            </w:pPr>
            <w:r>
              <w:rPr>
                <w:rFonts w:ascii="Times New Roman" w:cs="Times New Roman" w:eastAsia="Times New Roman" w:hAnsi="Times New Roman"/>
                <w:sz w:val="12"/>
                <w:szCs w:val="12"/>
                <w:color w:val="auto"/>
              </w:rPr>
              <w:t>7</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Uniti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Income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40" w:type="dxa"/>
            <w:vAlign w:val="bottom"/>
          </w:tcPr>
          <w:p>
            <w:pPr>
              <w:spacing w:after="0"/>
              <w:rPr>
                <w:sz w:val="13"/>
                <w:szCs w:val="13"/>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738"/>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Uniti Leasing</w:t>
            </w:r>
          </w:p>
        </w:tc>
        <w:tc>
          <w:tcPr>
            <w:tcW w:w="800" w:type="dxa"/>
            <w:vAlign w:val="bottom"/>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221,661</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214,923</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880,490</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852,772</w:t>
            </w: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Uniti Fiber</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71,654</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70,733</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286,437</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297,059</w:t>
            </w:r>
          </w:p>
        </w:tc>
      </w:tr>
      <w:tr>
        <w:trPr>
          <w:trHeight w:val="133"/>
        </w:trPr>
        <w:tc>
          <w:tcPr>
            <w:tcW w:w="55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293,315</w:t>
            </w: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285,656</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1,166,927</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1,149,831</w:t>
            </w:r>
          </w:p>
        </w:tc>
        <w:tc>
          <w:tcPr>
            <w:tcW w:w="120" w:type="dxa"/>
            <w:vAlign w:val="bottom"/>
          </w:tcPr>
          <w:p>
            <w:pPr>
              <w:spacing w:after="0"/>
              <w:rPr>
                <w:sz w:val="11"/>
                <w:szCs w:val="11"/>
                <w:color w:val="auto"/>
              </w:rPr>
            </w:pPr>
          </w:p>
        </w:tc>
      </w:tr>
      <w:tr>
        <w:trPr>
          <w:trHeight w:val="144"/>
        </w:trPr>
        <w:tc>
          <w:tcPr>
            <w:tcW w:w="5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129,671</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123,106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511,364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512,349</w:t>
            </w: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79,948</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79,149</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314,810</w:t>
            </w:r>
          </w:p>
        </w:tc>
        <w:tc>
          <w:tcPr>
            <w:tcW w:w="280" w:type="dxa"/>
            <w:vAlign w:val="bottom"/>
          </w:tcPr>
          <w:p>
            <w:pPr>
              <w:spacing w:after="0"/>
              <w:rPr>
                <w:sz w:val="12"/>
                <w:szCs w:val="12"/>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310,528</w:t>
            </w: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24,473</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25,401</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105,019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102,732</w:t>
            </w: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 (exclusive of depreciation, accretion and amortization)</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33,624</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34,398</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140,377</w:t>
            </w:r>
          </w:p>
        </w:tc>
        <w:tc>
          <w:tcPr>
            <w:tcW w:w="280" w:type="dxa"/>
            <w:vAlign w:val="bottom"/>
          </w:tcPr>
          <w:p>
            <w:pPr>
              <w:spacing w:after="0"/>
              <w:rPr>
                <w:sz w:val="12"/>
                <w:szCs w:val="12"/>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144,276</w:t>
            </w: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related and other costs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7,666</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2,806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38,734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12,611</w:t>
            </w: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Loss (gain) on sale of real estate</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(740)</w:t>
            </w: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(18,953)</w:t>
            </w:r>
          </w:p>
        </w:tc>
        <w:tc>
          <w:tcPr>
            <w:tcW w:w="280" w:type="dxa"/>
            <w:vAlign w:val="bottom"/>
          </w:tcPr>
          <w:p>
            <w:pPr>
              <w:spacing w:after="0"/>
              <w:rPr>
                <w:sz w:val="12"/>
                <w:szCs w:val="12"/>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(2,164)</w:t>
            </w: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203,998</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8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(2,937)</w:t>
            </w:r>
          </w:p>
        </w:tc>
        <w:tc>
          <w:tcPr>
            <w:tcW w:w="2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(301)</w:t>
            </w:r>
          </w:p>
        </w:tc>
        <w:tc>
          <w:tcPr>
            <w:tcW w:w="28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18,386</w:t>
            </w: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costs and expenses</w:t>
            </w: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275,428</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261,183</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1,091,050</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1,302,716</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 and equity in earnings from unconsolidated entities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17,887</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24,473</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75,877</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(152,885)</w:t>
            </w: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8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(3,686)</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(5,575)</w:t>
            </w: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(17,555)</w:t>
            </w:r>
          </w:p>
        </w:tc>
        <w:tc>
          <w:tcPr>
            <w:tcW w:w="280" w:type="dxa"/>
            <w:vAlign w:val="bottom"/>
          </w:tcPr>
          <w:p>
            <w:pPr>
              <w:spacing w:after="0"/>
              <w:rPr>
                <w:sz w:val="12"/>
                <w:szCs w:val="12"/>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(68,474)</w:t>
            </w: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from unconsolidated entities</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(672)</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(2,662)</w:t>
            </w:r>
          </w:p>
        </w:tc>
      </w:tr>
      <w:tr>
        <w:trPr>
          <w:trHeight w:val="133"/>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21,573</w:t>
            </w: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30,720</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93,432</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(81,749)</w:t>
            </w:r>
          </w:p>
        </w:tc>
        <w:tc>
          <w:tcPr>
            <w:tcW w:w="120" w:type="dxa"/>
            <w:vAlign w:val="bottom"/>
          </w:tcPr>
          <w:p>
            <w:pPr>
              <w:spacing w:after="0"/>
              <w:rPr>
                <w:sz w:val="11"/>
                <w:szCs w:val="11"/>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(36)</w:t>
            </w:r>
          </w:p>
        </w:tc>
      </w:tr>
      <w:tr>
        <w:trPr>
          <w:trHeight w:val="133"/>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 attributable to shareholders</w:t>
            </w: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21,570</w:t>
            </w: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30,706</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93,406</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(81,713)</w:t>
            </w:r>
          </w:p>
        </w:tc>
        <w:tc>
          <w:tcPr>
            <w:tcW w:w="120" w:type="dxa"/>
            <w:vAlign w:val="bottom"/>
          </w:tcPr>
          <w:p>
            <w:pPr>
              <w:spacing w:after="0"/>
              <w:rPr>
                <w:sz w:val="11"/>
                <w:szCs w:val="1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Participating securities’ share in earnings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(587)</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(317)</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(2,080)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(1,207)</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Dividends declared on convertible preferred stock</w:t>
            </w:r>
          </w:p>
        </w:tc>
        <w:tc>
          <w:tcPr>
            <w:tcW w:w="8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8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w:t>
            </w:r>
          </w:p>
        </w:tc>
        <w:tc>
          <w:tcPr>
            <w:tcW w:w="2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w:t>
            </w:r>
          </w:p>
        </w:tc>
        <w:tc>
          <w:tcPr>
            <w:tcW w:w="280" w:type="dxa"/>
            <w:vAlign w:val="bottom"/>
          </w:tcPr>
          <w:p>
            <w:pPr>
              <w:spacing w:after="0"/>
              <w:rPr>
                <w:sz w:val="13"/>
                <w:szCs w:val="13"/>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(20)</w:t>
            </w:r>
          </w:p>
        </w:tc>
      </w:tr>
      <w:tr>
        <w:trPr>
          <w:trHeight w:val="14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 attributable to common shareholders</w:t>
            </w:r>
          </w:p>
        </w:tc>
        <w:tc>
          <w:tcPr>
            <w:tcW w:w="80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(82,940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common shareholders – Basic</w:t>
            </w: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20,978</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30,384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91,306</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(82,940)</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Impact of if-converted dilutive securities</w:t>
            </w:r>
          </w:p>
        </w:tc>
        <w:tc>
          <w:tcPr>
            <w:tcW w:w="8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55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(loss) attributable to common shareholders – Diluted</w:t>
            </w:r>
          </w:p>
        </w:tc>
        <w:tc>
          <w:tcPr>
            <w:tcW w:w="80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(82,940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common shares outstanding:</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8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237,495</w:t>
            </w:r>
          </w:p>
        </w:tc>
        <w:tc>
          <w:tcPr>
            <w:tcW w:w="8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236,547</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237,306</w:t>
            </w:r>
          </w:p>
        </w:tc>
        <w:tc>
          <w:tcPr>
            <w:tcW w:w="280" w:type="dxa"/>
            <w:vAlign w:val="bottom"/>
          </w:tcPr>
          <w:p>
            <w:pPr>
              <w:spacing w:after="0"/>
              <w:rPr>
                <w:sz w:val="14"/>
                <w:szCs w:val="14"/>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236,401</w:t>
            </w:r>
          </w:p>
        </w:tc>
      </w:tr>
      <w:tr>
        <w:trPr>
          <w:trHeight w:val="151"/>
        </w:trPr>
        <w:tc>
          <w:tcPr>
            <w:tcW w:w="55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237,495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236,547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237,306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236,401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800" w:type="dxa"/>
            <w:vAlign w:val="bottom"/>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0.09</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0.13</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0.38</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(0.35)</w:t>
            </w:r>
          </w:p>
        </w:tc>
      </w:tr>
      <w:tr>
        <w:trPr>
          <w:trHeight w:val="151"/>
        </w:trPr>
        <w:tc>
          <w:tcPr>
            <w:tcW w:w="55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80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432"/>
        </w:trPr>
        <w:tc>
          <w:tcPr>
            <w:tcW w:w="5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2"/>
                <w:szCs w:val="12"/>
                <w:color w:val="auto"/>
              </w:rPr>
              <w:t>8</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Uniti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820" w:type="dxa"/>
            <w:vAlign w:val="bottom"/>
            <w:gridSpan w:val="6"/>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2"/>
        </w:trPr>
        <w:tc>
          <w:tcPr>
            <w:tcW w:w="49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33"/>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3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4360" w:type="dxa"/>
            <w:vAlign w:val="bottom"/>
            <w:gridSpan w:val="2"/>
          </w:tcPr>
          <w:p>
            <w:pPr>
              <w:jc w:val="right"/>
              <w:ind w:right="6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93,432</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(81,749)</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314,810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310,528</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deferred financing costs and debt discount</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22,738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18,498</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31,187</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cap amortization</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(18,917)</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(68,497)</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of unconsolidated entities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(2,662)</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of cumulative earnings from unconsolidated entities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3,964</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 rate cap</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(2,200)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Straight-line revenues and amortization of below-market lease intangibles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(30,584)</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(37,944)</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13,508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12,491</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203,998</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Loss on asset disposals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(872)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(573)</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real estate</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(18,953)</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(2,164)</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unconsolidated entity</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(2,646)</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Accretion of settlement payable</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6,224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10,506</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2,767</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701</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(5,060)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(3,727)</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15,961</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15,795</w:t>
            </w:r>
          </w:p>
        </w:tc>
      </w:tr>
      <w:tr>
        <w:trPr>
          <w:trHeight w:val="15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3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(27,648)</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(54,577)</w:t>
            </w:r>
          </w:p>
        </w:tc>
      </w:tr>
      <w:tr>
        <w:trPr>
          <w:trHeight w:val="133"/>
        </w:trPr>
        <w:tc>
          <w:tcPr>
            <w:tcW w:w="4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5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366,695</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353,129</w:t>
            </w:r>
          </w:p>
        </w:tc>
        <w:tc>
          <w:tcPr>
            <w:tcW w:w="120" w:type="dxa"/>
            <w:vAlign w:val="bottom"/>
          </w:tcPr>
          <w:p>
            <w:pPr>
              <w:spacing w:after="0"/>
              <w:rPr>
                <w:sz w:val="11"/>
                <w:szCs w:val="11"/>
                <w:color w:val="auto"/>
              </w:rPr>
            </w:pPr>
          </w:p>
        </w:tc>
      </w:tr>
      <w:tr>
        <w:trPr>
          <w:trHeight w:val="144"/>
        </w:trPr>
        <w:tc>
          <w:tcPr>
            <w:tcW w:w="49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 from investing activities: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(354,834)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(417,002)</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of equipment</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2,397</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3,146</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of real estate, net of cash</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40,241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2,545</w:t>
            </w:r>
          </w:p>
        </w:tc>
      </w:t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of unconsolidated entity</w:t>
            </w: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40,000</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49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5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(272,196)</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(411,311)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9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 from financing activities: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debt</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(122,942)</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(2,263,662)</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notes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309,000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2,600,000</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(108,455)</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(107,405)</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of settlement payable</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(98,022)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(98,022)</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130,000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506,000</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under revolving credit facility</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(338,000)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(486,000)</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ABS Loan Facility</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275,000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payments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(2,262)</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Payments for financing costs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(15,778)</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(26,955)</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for settlement of common stock warrant</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termination of bond hedge option</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related to the early repayment of debt</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(44,303)</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paid to noncontrolling interests</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for exchange of noncontrolling interest</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Employee stock purchase program</w:t>
            </w: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657</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730</w:t>
            </w:r>
          </w:p>
        </w:tc>
      </w:tr>
      <w:tr>
        <w:trPr>
          <w:trHeight w:val="15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related to tax withholding for stock-based compensation</w:t>
            </w:r>
          </w:p>
        </w:tc>
        <w:tc>
          <w:tcPr>
            <w:tcW w:w="3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(1,595)</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(1,433)</w:t>
            </w:r>
          </w:p>
        </w:tc>
      </w:tr>
      <w:tr>
        <w:trPr>
          <w:trHeight w:val="133"/>
        </w:trPr>
        <w:tc>
          <w:tcPr>
            <w:tcW w:w="49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5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27,084</w:t>
            </w:r>
          </w:p>
        </w:tc>
        <w:tc>
          <w:tcPr>
            <w:tcW w:w="2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76,643</w:t>
            </w:r>
          </w:p>
        </w:tc>
        <w:tc>
          <w:tcPr>
            <w:tcW w:w="120" w:type="dxa"/>
            <w:vAlign w:val="bottom"/>
            <w:tcBorders>
              <w:bottom w:val="single" w:sz="8" w:color="CCEEFF"/>
            </w:tcBorders>
          </w:tcPr>
          <w:p>
            <w:pPr>
              <w:spacing w:after="0"/>
              <w:rPr>
                <w:sz w:val="11"/>
                <w:szCs w:val="11"/>
                <w:color w:val="auto"/>
              </w:rPr>
            </w:pPr>
          </w:p>
        </w:tc>
      </w:tr>
      <w:tr>
        <w:trPr>
          <w:trHeight w:val="133"/>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increase in cash, restricted cash and cash equivalents</w:t>
            </w:r>
          </w:p>
        </w:tc>
        <w:tc>
          <w:tcPr>
            <w:tcW w:w="3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121,583</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18,461</w:t>
            </w:r>
          </w:p>
        </w:tc>
        <w:tc>
          <w:tcPr>
            <w:tcW w:w="120" w:type="dxa"/>
            <w:vAlign w:val="bottom"/>
            <w:shd w:val="clear" w:color="auto" w:fill="CCEEFF"/>
          </w:tcPr>
          <w:p>
            <w:pPr>
              <w:spacing w:after="0"/>
              <w:rPr>
                <w:sz w:val="11"/>
                <w:szCs w:val="11"/>
                <w:color w:val="auto"/>
              </w:rPr>
            </w:pPr>
          </w:p>
        </w:tc>
      </w:t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 at beginning of period</w:t>
            </w: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62,264</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43,803</w:t>
            </w:r>
          </w:p>
        </w:tc>
      </w:tr>
      <w:tr>
        <w:trPr>
          <w:trHeight w:val="149"/>
        </w:trPr>
        <w:tc>
          <w:tcPr>
            <w:tcW w:w="490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restricted cash and cash equivalents at end of period</w:t>
            </w:r>
          </w:p>
        </w:tc>
        <w:tc>
          <w:tcPr>
            <w:tcW w:w="35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183,847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62,264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49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acquired but not yet paid</w:t>
            </w:r>
          </w:p>
        </w:tc>
        <w:tc>
          <w:tcPr>
            <w:tcW w:w="4360" w:type="dxa"/>
            <w:vAlign w:val="bottom"/>
            <w:gridSpan w:val="2"/>
          </w:tcPr>
          <w:p>
            <w:pPr>
              <w:jc w:val="right"/>
              <w:ind w:right="6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10,186</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8,798</w:t>
            </w:r>
          </w:p>
        </w:tc>
      </w:tr>
      <w:tr>
        <w:trPr>
          <w:trHeight w:val="1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Tenant capital improvements</w:t>
            </w:r>
          </w:p>
        </w:tc>
        <w:tc>
          <w:tcPr>
            <w:tcW w:w="3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263,087</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167,763</w:t>
            </w:r>
          </w:p>
        </w:tc>
      </w:tr>
      <w:tr>
        <w:trPr>
          <w:trHeight w:val="155"/>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Sale of unconsolidated entity</w:t>
            </w: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40,000</w:t>
            </w:r>
          </w:p>
        </w:tc>
      </w:tr>
      <w:tr>
        <w:trPr>
          <w:trHeight w:val="421"/>
        </w:trPr>
        <w:tc>
          <w:tcPr>
            <w:tcW w:w="49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2740"/>
              <w:spacing w:after="0"/>
              <w:rPr>
                <w:sz w:val="20"/>
                <w:szCs w:val="20"/>
                <w:color w:val="auto"/>
              </w:rPr>
            </w:pPr>
            <w:r>
              <w:rPr>
                <w:rFonts w:ascii="Times New Roman" w:cs="Times New Roman" w:eastAsia="Times New Roman" w:hAnsi="Times New Roman"/>
                <w:sz w:val="12"/>
                <w:szCs w:val="12"/>
                <w:color w:val="auto"/>
              </w:rPr>
              <w:t>9</w:t>
            </w: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Uniti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of Net Income to FFO and AFFO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540" w:type="dxa"/>
            <w:vAlign w:val="bottom"/>
          </w:tcPr>
          <w:p>
            <w:pPr>
              <w:spacing w:after="0"/>
              <w:rPr>
                <w:sz w:val="13"/>
                <w:szCs w:val="13"/>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shareholders</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20,978</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30,384</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91,306</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(82,940)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Real estate depreciation and amortization</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58,504</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56,132</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226,419</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221,115</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real estate assets, net of tax</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46</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(740)</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(18,905)</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(2,164)</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Participating securities share in earnings</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587</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317</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2,080</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1,207</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Participating securities share in FFO</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(2,178)</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(766)</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(6,344)</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(2,064)</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Real estate depreciation and amortization from unconsolidated entities</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435</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1,740</w:t>
            </w:r>
          </w:p>
        </w:tc>
        <w:tc>
          <w:tcPr>
            <w:tcW w:w="0" w:type="dxa"/>
            <w:vAlign w:val="bottom"/>
          </w:tcPr>
          <w:p>
            <w:pPr>
              <w:spacing w:after="0"/>
              <w:rPr>
                <w:sz w:val="1"/>
                <w:szCs w:val="1"/>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for noncontrolling interests</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33"/>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FFO attributable to common shareholders</w:t>
            </w: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77,929</w:t>
            </w: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85,736</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294,514</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136,794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related and other costs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7,666</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2,806</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38,734</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12,611</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deferred financing costs and debt discount</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5,964</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4,523</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22,738</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18,498</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 off of deferred financing costs and debt discount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10,412</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Gain on extinguishment of debt</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(1,269)</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related to the early repayment of debt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51,997</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3,388</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3,083</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13,508</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12,491</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unconsolidated entity, net of tax</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(2,476)</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(2,476)</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Non-real estate depreciation and amortization</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21,444</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23,016</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88,391</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89,413</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impairment, net of tax</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151,856</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Straight-line revenues and amortization of below-market lease intangibles</w:t>
            </w:r>
          </w:p>
        </w:tc>
        <w:tc>
          <w:tcPr>
            <w:tcW w:w="8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(6,226)</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(9,149)</w:t>
            </w:r>
          </w:p>
        </w:tc>
        <w:tc>
          <w:tcPr>
            <w:tcW w:w="8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(30,584)</w:t>
            </w:r>
          </w:p>
        </w:tc>
        <w:tc>
          <w:tcPr>
            <w:tcW w:w="7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(37,944)</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Maintenance capital expenditures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(2,175)</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(1,624)</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(8,064)</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(6,962)</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TCI revenue amortization</w:t>
            </w:r>
          </w:p>
        </w:tc>
        <w:tc>
          <w:tcPr>
            <w:tcW w:w="8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(13,641)</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(12,339)</w:t>
            </w:r>
          </w:p>
        </w:tc>
        <w:tc>
          <w:tcPr>
            <w:tcW w:w="8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(50,889)</w:t>
            </w:r>
          </w:p>
        </w:tc>
        <w:tc>
          <w:tcPr>
            <w:tcW w:w="7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(46,967)</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(2,365)</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(2,332)</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(9,414)</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(4,370)</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Adjustments for equity in earnings from unconsolidated entities</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320</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1,280</w:t>
            </w:r>
          </w:p>
        </w:tc>
        <w:tc>
          <w:tcPr>
            <w:tcW w:w="0" w:type="dxa"/>
            <w:vAlign w:val="bottom"/>
          </w:tcPr>
          <w:p>
            <w:pPr>
              <w:spacing w:after="0"/>
              <w:rPr>
                <w:sz w:val="1"/>
                <w:szCs w:val="1"/>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for noncontrolling interests</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9"/>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AFFO attributable to common shareholders</w:t>
            </w:r>
          </w:p>
        </w:tc>
        <w:tc>
          <w:tcPr>
            <w:tcW w:w="80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91,982</w:t>
            </w: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91,561</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358,921</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385,252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Diluted FFO and AFFO:</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FFO Attributable to common shareholders – Basic</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77,929</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85,736</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294,514</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136,794</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Impact of if-converted dilutive securities</w:t>
            </w:r>
          </w:p>
        </w:tc>
        <w:tc>
          <w:tcPr>
            <w:tcW w:w="8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5,967</w:t>
            </w:r>
          </w:p>
        </w:tc>
        <w:tc>
          <w:tcPr>
            <w:tcW w:w="8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7,011</w:t>
            </w:r>
          </w:p>
        </w:tc>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25,825</w:t>
            </w:r>
          </w:p>
        </w:tc>
        <w:tc>
          <w:tcPr>
            <w:tcW w:w="7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27,269</w:t>
            </w:r>
          </w:p>
        </w:tc>
        <w:tc>
          <w:tcPr>
            <w:tcW w:w="0" w:type="dxa"/>
            <w:vAlign w:val="bottom"/>
          </w:tcPr>
          <w:p>
            <w:pPr>
              <w:spacing w:after="0"/>
              <w:rPr>
                <w:sz w:val="1"/>
                <w:szCs w:val="1"/>
                <w:color w:val="auto"/>
              </w:rPr>
            </w:pPr>
          </w:p>
        </w:tc>
      </w:tr>
      <w:tr>
        <w:trPr>
          <w:trHeight w:val="149"/>
        </w:trPr>
        <w:tc>
          <w:tcPr>
            <w:tcW w:w="55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FFO Attributable to common shareholders – Diluted</w:t>
            </w:r>
          </w:p>
        </w:tc>
        <w:tc>
          <w:tcPr>
            <w:tcW w:w="80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83,896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92,747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320,339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AFFO Attributable to common shareholders – Basic</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91,982</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91,561</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358,921</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385,252</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Impact of if-converted dilutive securities</w:t>
            </w:r>
          </w:p>
        </w:tc>
        <w:tc>
          <w:tcPr>
            <w:tcW w:w="8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5,747</w:t>
            </w:r>
          </w:p>
        </w:tc>
        <w:tc>
          <w:tcPr>
            <w:tcW w:w="8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6,976</w:t>
            </w:r>
          </w:p>
        </w:tc>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25,277</w:t>
            </w:r>
          </w:p>
        </w:tc>
        <w:tc>
          <w:tcPr>
            <w:tcW w:w="7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28,038</w:t>
            </w:r>
          </w:p>
        </w:tc>
        <w:tc>
          <w:tcPr>
            <w:tcW w:w="0" w:type="dxa"/>
            <w:vAlign w:val="bottom"/>
          </w:tcPr>
          <w:p>
            <w:pPr>
              <w:spacing w:after="0"/>
              <w:rPr>
                <w:sz w:val="1"/>
                <w:szCs w:val="1"/>
                <w:color w:val="auto"/>
              </w:rPr>
            </w:pPr>
          </w:p>
        </w:tc>
      </w:tr>
      <w:tr>
        <w:trPr>
          <w:trHeight w:val="149"/>
        </w:trPr>
        <w:tc>
          <w:tcPr>
            <w:tcW w:w="55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AFFO Attributable to common shareholders – Diluted</w:t>
            </w:r>
          </w:p>
        </w:tc>
        <w:tc>
          <w:tcPr>
            <w:tcW w:w="80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97,729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98,537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384,198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413,290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Weighted average common shares used to calculate basic earnings per common share </w:t>
            </w:r>
            <w:r>
              <w:rPr>
                <w:rFonts w:ascii="Times New Roman" w:cs="Times New Roman" w:eastAsia="Times New Roman" w:hAnsi="Times New Roman"/>
                <w:sz w:val="19"/>
                <w:szCs w:val="19"/>
                <w:color w:val="auto"/>
                <w:vertAlign w:val="superscript"/>
              </w:rPr>
              <w:t>(1)</w:t>
            </w:r>
          </w:p>
        </w:tc>
        <w:tc>
          <w:tcPr>
            <w:tcW w:w="8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237,495</w:t>
            </w:r>
          </w:p>
        </w:tc>
        <w:tc>
          <w:tcPr>
            <w:tcW w:w="8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236,547</w:t>
            </w:r>
          </w:p>
        </w:tc>
        <w:tc>
          <w:tcPr>
            <w:tcW w:w="8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237,306</w:t>
            </w:r>
          </w:p>
        </w:tc>
        <w:tc>
          <w:tcPr>
            <w:tcW w:w="7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236,401</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Impact of dilutive non-participating securities</w:t>
            </w:r>
          </w:p>
        </w:tc>
        <w:tc>
          <w:tcPr>
            <w:tcW w:w="8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Impact of if-converted dilutive securities</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42,044</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53,401</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48,024</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53,701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line="189" w:lineRule="exact"/>
              <w:rPr>
                <w:sz w:val="20"/>
                <w:szCs w:val="20"/>
                <w:color w:val="auto"/>
              </w:rPr>
            </w:pPr>
            <w:r>
              <w:rPr>
                <w:rFonts w:ascii="Times New Roman" w:cs="Times New Roman" w:eastAsia="Times New Roman" w:hAnsi="Times New Roman"/>
                <w:sz w:val="12"/>
                <w:szCs w:val="12"/>
                <w:color w:val="auto"/>
              </w:rPr>
              <w:t xml:space="preserve">Weighted average common shares used to calculate diluted FFO and AFFO per common share </w:t>
            </w:r>
            <w:r>
              <w:rPr>
                <w:rFonts w:ascii="Times New Roman" w:cs="Times New Roman" w:eastAsia="Times New Roman" w:hAnsi="Times New Roman"/>
                <w:sz w:val="19"/>
                <w:szCs w:val="19"/>
                <w:color w:val="auto"/>
                <w:vertAlign w:val="superscript"/>
              </w:rPr>
              <w:t>(1)</w:t>
            </w: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279,539</w:t>
            </w:r>
          </w:p>
        </w:tc>
        <w:tc>
          <w:tcPr>
            <w:tcW w:w="8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289,948</w:t>
            </w:r>
          </w:p>
        </w:tc>
        <w:tc>
          <w:tcPr>
            <w:tcW w:w="8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285,330</w:t>
            </w:r>
          </w:p>
        </w:tc>
        <w:tc>
          <w:tcPr>
            <w:tcW w:w="7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290,102</w:t>
            </w:r>
          </w:p>
        </w:tc>
        <w:tc>
          <w:tcPr>
            <w:tcW w:w="0" w:type="dxa"/>
            <w:vAlign w:val="bottom"/>
          </w:tcPr>
          <w:p>
            <w:pPr>
              <w:spacing w:after="0"/>
              <w:rPr>
                <w:sz w:val="1"/>
                <w:szCs w:val="1"/>
                <w:color w:val="auto"/>
              </w:rPr>
            </w:pPr>
          </w:p>
        </w:tc>
      </w:tr>
      <w:tr>
        <w:trPr>
          <w:trHeight w:val="144"/>
        </w:trPr>
        <w:tc>
          <w:tcPr>
            <w:tcW w:w="5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Per diluted common share:</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EPS</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0.09</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0.13</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0.38</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(0.35)</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FFO</w:t>
            </w: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0.30</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0.32</w:t>
            </w: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0.57</w:t>
            </w:r>
          </w:p>
        </w:tc>
        <w:tc>
          <w:tcPr>
            <w:tcW w:w="0" w:type="dxa"/>
            <w:vAlign w:val="bottom"/>
          </w:tcPr>
          <w:p>
            <w:pPr>
              <w:spacing w:after="0"/>
              <w:rPr>
                <w:sz w:val="1"/>
                <w:szCs w:val="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AFFO</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0.35</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0.34</w:t>
            </w:r>
          </w:p>
        </w:tc>
        <w:tc>
          <w:tcPr>
            <w:tcW w:w="80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8" w:right="20" w:hanging="428"/>
        <w:spacing w:after="0" w:line="279" w:lineRule="auto"/>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periods in which FFO to common shareholders is a loss, the weighted average common shares used to calculate diluted FFO per common share is equal to the weighted average common shares used to calculate basic earnings per share.</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income (loss)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expense, net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Income tax benefit</w:t>
      </w:r>
    </w:p>
    <w:p>
      <w:pPr>
        <w:spacing w:after="0" w:line="9"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b w:val="1"/>
          <w:bCs w:val="1"/>
          <w:color w:val="auto"/>
        </w:rPr>
        <w:t>EBITDA</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Transaction related and other costs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Gain on sale of real estate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Goodwill impairment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 net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Adjustments for equity in earnings from unconsolidated entities</w:t>
      </w:r>
    </w:p>
    <w:p>
      <w:pPr>
        <w:spacing w:after="0" w:line="18"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Times New Roman" w:cs="Times New Roman" w:eastAsia="Times New Roman" w:hAnsi="Times New Roman"/>
          <w:sz w:val="12"/>
          <w:szCs w:val="12"/>
          <w:b w:val="1"/>
          <w:bCs w:val="1"/>
          <w:color w:val="auto"/>
        </w:rPr>
        <w:t>Uniti Group Inc.</w:t>
      </w:r>
    </w:p>
    <w:p>
      <w:pPr>
        <w:spacing w:after="0" w:line="21"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1"/>
          <w:szCs w:val="11"/>
          <w:b w:val="1"/>
          <w:bCs w:val="1"/>
          <w:color w:val="auto"/>
        </w:rPr>
        <w:t>Reconciliation of EBITDA and Adjusted EBITDA</w:t>
      </w:r>
    </w:p>
    <w:p>
      <w:pPr>
        <w:spacing w:after="0" w:line="18"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1180" w:type="dxa"/>
        <w:tblCellMar>
          <w:top w:w="0" w:type="dxa"/>
          <w:left w:w="0" w:type="dxa"/>
          <w:bottom w:w="0" w:type="dxa"/>
          <w:right w:w="0" w:type="dxa"/>
        </w:tblCellMar>
      </w:tblPr>
      <w:tr>
        <w:trPr>
          <w:trHeight w:val="144"/>
        </w:trPr>
        <w:tc>
          <w:tcPr>
            <w:tcW w:w="280" w:type="dxa"/>
            <w:vAlign w:val="bottom"/>
          </w:tcPr>
          <w:p>
            <w:pPr>
              <w:spacing w:after="0"/>
              <w:rPr>
                <w:sz w:val="12"/>
                <w:szCs w:val="12"/>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2"/>
        </w:trPr>
        <w:tc>
          <w:tcPr>
            <w:tcW w:w="28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21,573</w:t>
            </w:r>
          </w:p>
        </w:tc>
        <w:tc>
          <w:tcPr>
            <w:tcW w:w="240" w:type="dxa"/>
            <w:vAlign w:val="bottom"/>
          </w:tcPr>
          <w:p>
            <w:pPr>
              <w:spacing w:after="0"/>
              <w:rPr>
                <w:sz w:val="10"/>
                <w:szCs w:val="10"/>
                <w:color w:val="auto"/>
              </w:rPr>
            </w:pPr>
          </w:p>
        </w:tc>
        <w:tc>
          <w:tcPr>
            <w:tcW w:w="460" w:type="dxa"/>
            <w:vAlign w:val="bottom"/>
          </w:tcPr>
          <w:p>
            <w:pPr>
              <w:jc w:val="right"/>
              <w:ind w:right="3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30,720</w:t>
            </w:r>
          </w:p>
        </w:tc>
        <w:tc>
          <w:tcPr>
            <w:tcW w:w="220" w:type="dxa"/>
            <w:vAlign w:val="bottom"/>
          </w:tcPr>
          <w:p>
            <w:pPr>
              <w:spacing w:after="0"/>
              <w:rPr>
                <w:sz w:val="10"/>
                <w:szCs w:val="10"/>
                <w:color w:val="auto"/>
              </w:rPr>
            </w:pPr>
          </w:p>
        </w:tc>
        <w:tc>
          <w:tcPr>
            <w:tcW w:w="28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93,432</w:t>
            </w:r>
          </w:p>
        </w:tc>
        <w:tc>
          <w:tcPr>
            <w:tcW w:w="220" w:type="dxa"/>
            <w:vAlign w:val="bottom"/>
          </w:tcPr>
          <w:p>
            <w:pPr>
              <w:spacing w:after="0"/>
              <w:rPr>
                <w:sz w:val="10"/>
                <w:szCs w:val="10"/>
                <w:color w:val="auto"/>
              </w:rPr>
            </w:pPr>
          </w:p>
        </w:tc>
        <w:tc>
          <w:tcPr>
            <w:tcW w:w="36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(81,749)</w:t>
            </w:r>
          </w:p>
        </w:tc>
        <w:tc>
          <w:tcPr>
            <w:tcW w:w="40" w:type="dxa"/>
            <w:vAlign w:val="bottom"/>
            <w:gridSpan w:val="2"/>
          </w:tcPr>
          <w:p>
            <w:pPr>
              <w:spacing w:after="0"/>
              <w:rPr>
                <w:sz w:val="10"/>
                <w:szCs w:val="10"/>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79,948</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79,149</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314,810</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310,528</w:t>
            </w:r>
          </w:p>
        </w:tc>
        <w:tc>
          <w:tcPr>
            <w:tcW w:w="20" w:type="dxa"/>
            <w:vAlign w:val="bottom"/>
          </w:tcPr>
          <w:p>
            <w:pPr>
              <w:spacing w:after="0"/>
              <w:rPr>
                <w:sz w:val="12"/>
                <w:szCs w:val="12"/>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129,671</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123,106</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511,364</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512,349</w:t>
            </w:r>
          </w:p>
        </w:tc>
        <w:tc>
          <w:tcPr>
            <w:tcW w:w="20" w:type="dxa"/>
            <w:vAlign w:val="bottom"/>
          </w:tcPr>
          <w:p>
            <w:pPr>
              <w:spacing w:after="0"/>
              <w:rPr>
                <w:sz w:val="12"/>
                <w:szCs w:val="12"/>
                <w:color w:val="auto"/>
              </w:rPr>
            </w:pPr>
          </w:p>
        </w:tc>
      </w:tr>
      <w:tr>
        <w:trPr>
          <w:trHeight w:val="164"/>
        </w:trPr>
        <w:tc>
          <w:tcPr>
            <w:tcW w:w="2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(3,686)</w:t>
            </w:r>
          </w:p>
        </w:tc>
        <w:tc>
          <w:tcPr>
            <w:tcW w:w="4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(5,575)</w:t>
            </w: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(17,555)</w:t>
            </w:r>
          </w:p>
        </w:tc>
        <w:tc>
          <w:tcPr>
            <w:tcW w:w="36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(68,474)</w:t>
            </w:r>
          </w:p>
        </w:tc>
      </w:tr>
      <w:tr>
        <w:trPr>
          <w:trHeight w:val="122"/>
        </w:trPr>
        <w:tc>
          <w:tcPr>
            <w:tcW w:w="280" w:type="dxa"/>
            <w:vAlign w:val="bottom"/>
            <w:tcBorders>
              <w:top w:val="single" w:sz="8" w:color="auto"/>
            </w:tcBorders>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227,506</w:t>
            </w:r>
          </w:p>
        </w:tc>
        <w:tc>
          <w:tcPr>
            <w:tcW w:w="240" w:type="dxa"/>
            <w:vAlign w:val="bottom"/>
          </w:tcPr>
          <w:p>
            <w:pPr>
              <w:spacing w:after="0"/>
              <w:rPr>
                <w:sz w:val="10"/>
                <w:szCs w:val="10"/>
                <w:color w:val="auto"/>
              </w:rPr>
            </w:pPr>
          </w:p>
        </w:tc>
        <w:tc>
          <w:tcPr>
            <w:tcW w:w="460" w:type="dxa"/>
            <w:vAlign w:val="bottom"/>
            <w:tcBorders>
              <w:top w:val="single" w:sz="8" w:color="auto"/>
            </w:tcBorders>
          </w:tcPr>
          <w:p>
            <w:pPr>
              <w:jc w:val="right"/>
              <w:ind w:right="3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227,400</w:t>
            </w:r>
          </w:p>
        </w:tc>
        <w:tc>
          <w:tcPr>
            <w:tcW w:w="220" w:type="dxa"/>
            <w:vAlign w:val="bottom"/>
          </w:tcPr>
          <w:p>
            <w:pPr>
              <w:spacing w:after="0"/>
              <w:rPr>
                <w:sz w:val="10"/>
                <w:szCs w:val="10"/>
                <w:color w:val="auto"/>
              </w:rPr>
            </w:pPr>
          </w:p>
        </w:tc>
        <w:tc>
          <w:tcPr>
            <w:tcW w:w="280" w:type="dxa"/>
            <w:vAlign w:val="bottom"/>
            <w:tcBorders>
              <w:top w:val="single" w:sz="8" w:color="auto"/>
            </w:tcBorders>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902,051</w:t>
            </w:r>
          </w:p>
        </w:tc>
        <w:tc>
          <w:tcPr>
            <w:tcW w:w="220" w:type="dxa"/>
            <w:vAlign w:val="bottom"/>
          </w:tcPr>
          <w:p>
            <w:pPr>
              <w:spacing w:after="0"/>
              <w:rPr>
                <w:sz w:val="10"/>
                <w:szCs w:val="10"/>
                <w:color w:val="auto"/>
              </w:rPr>
            </w:pPr>
          </w:p>
        </w:tc>
        <w:tc>
          <w:tcPr>
            <w:tcW w:w="360" w:type="dxa"/>
            <w:vAlign w:val="bottom"/>
            <w:tcBorders>
              <w:top w:val="single" w:sz="8" w:color="auto"/>
            </w:tcBorders>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rPr>
              <w:t>672,654</w:t>
            </w:r>
          </w:p>
        </w:tc>
        <w:tc>
          <w:tcPr>
            <w:tcW w:w="20" w:type="dxa"/>
            <w:vAlign w:val="bottom"/>
          </w:tcPr>
          <w:p>
            <w:pPr>
              <w:spacing w:after="0"/>
              <w:rPr>
                <w:sz w:val="10"/>
                <w:szCs w:val="10"/>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3,388</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3,083</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13,508</w:t>
            </w:r>
          </w:p>
        </w:tc>
        <w:tc>
          <w:tcPr>
            <w:tcW w:w="36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12,491</w:t>
            </w: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7,666</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2,806</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38,734</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12,611</w:t>
            </w:r>
          </w:p>
        </w:tc>
        <w:tc>
          <w:tcPr>
            <w:tcW w:w="20" w:type="dxa"/>
            <w:vAlign w:val="bottom"/>
          </w:tcPr>
          <w:p>
            <w:pPr>
              <w:spacing w:after="0"/>
              <w:rPr>
                <w:sz w:val="12"/>
                <w:szCs w:val="12"/>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w:t>
            </w:r>
          </w:p>
        </w:tc>
        <w:tc>
          <w:tcPr>
            <w:tcW w:w="4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(740)</w:t>
            </w: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(18,953)</w:t>
            </w:r>
          </w:p>
        </w:tc>
        <w:tc>
          <w:tcPr>
            <w:tcW w:w="36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(2,164)</w:t>
            </w:r>
          </w:p>
        </w:tc>
      </w:tr>
      <w:tr>
        <w:trPr>
          <w:trHeight w:val="144"/>
        </w:trPr>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203,998</w:t>
            </w:r>
          </w:p>
        </w:tc>
        <w:tc>
          <w:tcPr>
            <w:tcW w:w="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849</w:t>
            </w:r>
          </w:p>
        </w:tc>
        <w:tc>
          <w:tcPr>
            <w:tcW w:w="4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(2,180)</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4,726</w:t>
            </w:r>
          </w:p>
        </w:tc>
        <w:tc>
          <w:tcPr>
            <w:tcW w:w="36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20,893</w:t>
            </w:r>
          </w:p>
        </w:tc>
      </w:tr>
      <w:tr>
        <w:trPr>
          <w:trHeight w:val="155"/>
        </w:trPr>
        <w:tc>
          <w:tcPr>
            <w:tcW w:w="2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755</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3,019</w:t>
            </w:r>
          </w:p>
        </w:tc>
        <w:tc>
          <w:tcPr>
            <w:tcW w:w="20" w:type="dxa"/>
            <w:vAlign w:val="bottom"/>
          </w:tcPr>
          <w:p>
            <w:pPr>
              <w:spacing w:after="0"/>
              <w:rPr>
                <w:sz w:val="13"/>
                <w:szCs w:val="13"/>
                <w:color w:val="auto"/>
              </w:rPr>
            </w:pPr>
          </w:p>
        </w:tc>
      </w:tr>
      <w:tr>
        <w:trPr>
          <w:trHeight w:val="149"/>
        </w:trPr>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239,455</w:t>
            </w:r>
          </w:p>
        </w:tc>
        <w:tc>
          <w:tcPr>
            <w:tcW w:w="2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231,124</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940,066</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923,502</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-1148080</wp:posOffset>
            </wp:positionV>
            <wp:extent cx="7178040"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-959485</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-770890</wp:posOffset>
            </wp:positionV>
            <wp:extent cx="717804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-582295</wp:posOffset>
            </wp:positionV>
            <wp:extent cx="717804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-399415</wp:posOffset>
            </wp:positionV>
            <wp:extent cx="7178040"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-216535</wp:posOffset>
            </wp:positionV>
            <wp:extent cx="7178040"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48" w:space="720"/>
            <w:col w:w="6940"/>
          </w:cols>
          <w:pgMar w:left="292" w:top="647" w:right="299" w:bottom="1440" w:gutter="0" w:footer="0" w:header="0"/>
        </w:sectPr>
      </w:pPr>
    </w:p>
    <w:tbl>
      <w:tblPr>
        <w:tblLayout w:type="fixed"/>
        <w:tblInd w:w="8" w:type="dxa"/>
        <w:tblCellMar>
          <w:top w:w="0" w:type="dxa"/>
          <w:left w:w="0" w:type="dxa"/>
          <w:bottom w:w="0" w:type="dxa"/>
          <w:right w:w="0" w:type="dxa"/>
        </w:tblCellMar>
      </w:tblPr>
      <w:tr>
        <w:trPr>
          <w:trHeight w:val="124"/>
        </w:trPr>
        <w:tc>
          <w:tcPr>
            <w:tcW w:w="5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Uniti Leasing</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214,460</w:t>
            </w: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209,478</w:t>
            </w: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851,178</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829,557</w:t>
            </w:r>
          </w:p>
        </w:tc>
      </w:tr>
      <w:tr>
        <w:trPr>
          <w:trHeight w:val="144"/>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Uniti Fiber</w:t>
            </w:r>
          </w:p>
        </w:tc>
        <w:tc>
          <w:tcPr>
            <w:tcW w:w="4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31,071</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27,011</w:t>
            </w:r>
          </w:p>
        </w:tc>
        <w:tc>
          <w:tcPr>
            <w:tcW w:w="4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111,557</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115,723</w:t>
            </w:r>
          </w:p>
        </w:tc>
      </w:tr>
      <w:tr>
        <w:trPr>
          <w:trHeight w:val="153"/>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4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(6,076)</w:t>
            </w:r>
          </w:p>
        </w:tc>
        <w:tc>
          <w:tcPr>
            <w:tcW w:w="4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(5,365)</w:t>
            </w:r>
          </w:p>
        </w:tc>
        <w:tc>
          <w:tcPr>
            <w:tcW w:w="4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(22,669)</w:t>
            </w:r>
          </w:p>
        </w:tc>
        <w:tc>
          <w:tcPr>
            <w:tcW w:w="4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(21,778)</w:t>
            </w:r>
          </w:p>
        </w:tc>
      </w:tr>
      <w:tr>
        <w:trPr>
          <w:trHeight w:val="149"/>
        </w:trPr>
        <w:tc>
          <w:tcPr>
            <w:tcW w:w="55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239,455</w:t>
            </w:r>
          </w:p>
        </w:tc>
        <w:tc>
          <w:tcPr>
            <w:tcW w:w="2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231,124</w:t>
            </w:r>
          </w:p>
        </w:tc>
        <w:tc>
          <w:tcPr>
            <w:tcW w:w="2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940,066</w:t>
            </w:r>
          </w:p>
        </w:tc>
        <w:tc>
          <w:tcPr>
            <w:tcW w:w="2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923,502</w:t>
            </w:r>
          </w:p>
        </w:tc>
        <w:tc>
          <w:tcPr>
            <w:tcW w:w="120" w:type="dxa"/>
            <w:vAlign w:val="bottom"/>
            <w:tcBorders>
              <w:bottom w:val="single" w:sz="8" w:color="CCEEFF"/>
            </w:tcBorders>
          </w:tcPr>
          <w:p>
            <w:pPr>
              <w:spacing w:after="0"/>
              <w:rPr>
                <w:sz w:val="12"/>
                <w:szCs w:val="12"/>
                <w:color w:val="auto"/>
              </w:rPr>
            </w:pPr>
          </w:p>
        </w:tc>
      </w:tr>
      <w:tr>
        <w:trPr>
          <w:trHeight w:val="144"/>
        </w:trPr>
        <w:tc>
          <w:tcPr>
            <w:tcW w:w="5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96"/>
        </w:trPr>
        <w:tc>
          <w:tcPr>
            <w:tcW w:w="5540" w:type="dxa"/>
            <w:vAlign w:val="bottom"/>
          </w:tcPr>
          <w:p>
            <w:pPr>
              <w:spacing w:after="0" w:line="189" w:lineRule="exact"/>
              <w:rPr>
                <w:sz w:val="20"/>
                <w:szCs w:val="20"/>
                <w:color w:val="auto"/>
              </w:rPr>
            </w:pPr>
            <w:r>
              <w:rPr>
                <w:rFonts w:ascii="Times New Roman" w:cs="Times New Roman" w:eastAsia="Times New Roman" w:hAnsi="Times New Roman"/>
                <w:sz w:val="12"/>
                <w:szCs w:val="12"/>
                <w:b w:val="1"/>
                <w:bCs w:val="1"/>
                <w:color w:val="auto"/>
              </w:rPr>
              <w:t xml:space="preserve">Annualized Adjusted EBITDA </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939,578</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44"/>
        </w:trPr>
        <w:tc>
          <w:tcPr>
            <w:tcW w:w="55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Total Debt </w:t>
            </w:r>
            <w:r>
              <w:rPr>
                <w:rFonts w:ascii="Times New Roman" w:cs="Times New Roman" w:eastAsia="Times New Roman" w:hAnsi="Times New Roman"/>
                <w:sz w:val="19"/>
                <w:szCs w:val="19"/>
                <w:color w:val="auto"/>
                <w:vertAlign w:val="superscript"/>
              </w:rPr>
              <w:t>(2)</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5,603,690</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Unrestricted cash and cash equivalents</w:t>
            </w:r>
          </w:p>
        </w:tc>
        <w:tc>
          <w:tcPr>
            <w:tcW w:w="4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155,593</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Debt</w:t>
            </w: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5,448,097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5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Debt/Annualized Adjusted EBITDA</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5.80x</w:t>
            </w: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9451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31" w:lineRule="exact"/>
        <w:rPr>
          <w:sz w:val="20"/>
          <w:szCs w:val="20"/>
          <w:color w:val="auto"/>
        </w:rPr>
      </w:pPr>
    </w:p>
    <w:p>
      <w:pPr>
        <w:ind w:left="208" w:hanging="208"/>
        <w:spacing w:after="0" w:line="279" w:lineRule="auto"/>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Adjusted EBITDA for the most recently reported three-month period, excluding net contributions of $4.6 million from the ABS Loan Facility subsidiaries, multiplied by four. Annualized Adjusted EBITDA has not been prepared on a pro forma basis in accordance with Article 11 of Regulation S-X.</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$17.2 million of finance leases, but excludes $77.9 million of unamortized discounts and deferred financing costs and excludes the principal balance from the $275.0 million ABS loan facility.</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type w:val="continuous"/>
        </w:sectPr>
      </w:pPr>
    </w:p>
    <w:bookmarkStart w:id="16" w:name="page17"/>
    <w:bookmarkEnd w:id="16"/>
    <w:p>
      <w:pPr>
        <w:ind w:left="5228"/>
        <w:spacing w:after="0"/>
        <w:rPr>
          <w:sz w:val="20"/>
          <w:szCs w:val="20"/>
          <w:color w:val="auto"/>
        </w:rPr>
      </w:pPr>
      <w:r>
        <w:rPr>
          <w:rFonts w:ascii="Times New Roman" w:cs="Times New Roman" w:eastAsia="Times New Roman" w:hAnsi="Times New Roman"/>
          <w:sz w:val="12"/>
          <w:szCs w:val="12"/>
          <w:b w:val="1"/>
          <w:bCs w:val="1"/>
          <w:color w:val="auto"/>
        </w:rPr>
        <w:t>Uniti Group Inc.</w:t>
      </w:r>
    </w:p>
    <w:p>
      <w:pPr>
        <w:jc w:val="right"/>
        <w:ind w:right="2840"/>
        <w:spacing w:after="0" w:line="212" w:lineRule="auto"/>
        <w:rPr>
          <w:sz w:val="20"/>
          <w:szCs w:val="20"/>
          <w:color w:val="auto"/>
        </w:rPr>
      </w:pPr>
      <w:r>
        <w:rPr>
          <w:rFonts w:ascii="Times New Roman" w:cs="Times New Roman" w:eastAsia="Times New Roman" w:hAnsi="Times New Roman"/>
          <w:sz w:val="12"/>
          <w:szCs w:val="12"/>
          <w:b w:val="1"/>
          <w:bCs w:val="1"/>
          <w:color w:val="auto"/>
        </w:rPr>
        <w:t xml:space="preserve">Projected Future Results </w:t>
      </w:r>
      <w:r>
        <w:rPr>
          <w:rFonts w:ascii="Times New Roman" w:cs="Times New Roman" w:eastAsia="Times New Roman" w:hAnsi="Times New Roman"/>
          <w:sz w:val="19"/>
          <w:szCs w:val="19"/>
          <w:color w:val="auto"/>
          <w:vertAlign w:val="superscript"/>
        </w:rPr>
        <w:t>(1)</w:t>
      </w:r>
    </w:p>
    <w:p>
      <w:pPr>
        <w:ind w:left="5328"/>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income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Participating securities’ share in earnings</w:t>
      </w:r>
    </w:p>
    <w:p>
      <w:pPr>
        <w:ind w:left="8"/>
        <w:spacing w:after="0" w:line="205" w:lineRule="auto"/>
        <w:rPr>
          <w:sz w:val="20"/>
          <w:szCs w:val="20"/>
          <w:color w:val="auto"/>
        </w:rPr>
      </w:pPr>
      <w:r>
        <w:rPr>
          <w:rFonts w:ascii="Times New Roman" w:cs="Times New Roman" w:eastAsia="Times New Roman" w:hAnsi="Times New Roman"/>
          <w:sz w:val="12"/>
          <w:szCs w:val="12"/>
          <w:b w:val="1"/>
          <w:bCs w:val="1"/>
          <w:color w:val="auto"/>
        </w:rPr>
        <w:t xml:space="preserve">Net income </w:t>
      </w:r>
      <w:r>
        <w:rPr>
          <w:rFonts w:ascii="Times New Roman" w:cs="Times New Roman" w:eastAsia="Times New Roman" w:hAnsi="Times New Roman"/>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78040" cy="108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ind w:left="8"/>
        <w:spacing w:after="0" w:line="188" w:lineRule="auto"/>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78040" cy="91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Income tax benefit</w:t>
      </w:r>
    </w:p>
    <w:p>
      <w:pPr>
        <w:ind w:left="8"/>
        <w:spacing w:after="0" w:line="205" w:lineRule="auto"/>
        <w:rPr>
          <w:sz w:val="20"/>
          <w:szCs w:val="20"/>
          <w:color w:val="auto"/>
        </w:rPr>
      </w:pPr>
      <w:r>
        <w:rPr>
          <w:rFonts w:ascii="Times New Roman" w:cs="Times New Roman" w:eastAsia="Times New Roman" w:hAnsi="Times New Roman"/>
          <w:sz w:val="12"/>
          <w:szCs w:val="12"/>
          <w:b w:val="1"/>
          <w:bCs w:val="1"/>
          <w:color w:val="auto"/>
        </w:rPr>
        <w:t xml:space="preserve">EBITDA </w:t>
      </w:r>
      <w:r>
        <w:rPr>
          <w:rFonts w:ascii="Times New Roman" w:cs="Times New Roman" w:eastAsia="Times New Roman" w:hAnsi="Times New Roman"/>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78040" cy="108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7804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ind w:left="8"/>
        <w:spacing w:after="0" w:line="204" w:lineRule="auto"/>
        <w:rPr>
          <w:sz w:val="20"/>
          <w:szCs w:val="20"/>
          <w:color w:val="auto"/>
        </w:rPr>
      </w:pPr>
      <w:r>
        <w:rPr>
          <w:rFonts w:ascii="Times New Roman" w:cs="Times New Roman" w:eastAsia="Times New Roman" w:hAnsi="Times New Roman"/>
          <w:sz w:val="12"/>
          <w:szCs w:val="12"/>
          <w:color w:val="auto"/>
        </w:rPr>
        <w:t xml:space="preserve">Transaction related and other costs </w:t>
      </w:r>
      <w:r>
        <w:rPr>
          <w:rFonts w:ascii="Times New Roman" w:cs="Times New Roman" w:eastAsia="Times New Roman" w:hAnsi="Times New Roman"/>
          <w:sz w:val="19"/>
          <w:szCs w:val="19"/>
          <w:color w:val="auto"/>
          <w:vertAlign w:val="superscript"/>
        </w:rPr>
        <w:t>(4)</w:t>
      </w: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79451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Year Ended</w:t>
      </w:r>
    </w:p>
    <w:p>
      <w:pPr>
        <w:spacing w:after="0" w:line="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1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$ 95 to $ 115</w:t>
      </w:r>
    </w:p>
    <w:p>
      <w:pPr>
        <w:spacing w:after="0" w:line="1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3</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2"/>
          <w:szCs w:val="12"/>
          <w:color w:val="auto"/>
        </w:rPr>
        <w:t>98 to 118</w:t>
      </w:r>
    </w:p>
    <w:p>
      <w:pPr>
        <w:spacing w:after="0" w:line="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532</w:t>
      </w:r>
    </w:p>
    <w:p>
      <w:pPr>
        <w:spacing w:after="0" w:line="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323</w:t>
      </w:r>
    </w:p>
    <w:p>
      <w:pPr>
        <w:spacing w:after="0" w:line="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(4)</w:t>
      </w:r>
    </w:p>
    <w:p>
      <w:pPr>
        <w:spacing w:after="0" w:line="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949 to 969</w:t>
      </w:r>
    </w:p>
    <w:p>
      <w:pPr>
        <w:spacing w:after="0" w:line="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14</w:t>
      </w:r>
    </w:p>
    <w:p>
      <w:pPr>
        <w:spacing w:after="0" w:line="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10795</wp:posOffset>
            </wp:positionV>
            <wp:extent cx="10001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$ 966 to $ 986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10795</wp:posOffset>
            </wp:positionV>
            <wp:extent cx="10001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0125" cy="57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22225</wp:posOffset>
            </wp:positionV>
            <wp:extent cx="10001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9208" w:space="720"/>
            <w:col w:w="1380"/>
          </w:cols>
          <w:pgMar w:left="292" w:top="647" w:right="299" w:bottom="1440" w:gutter="0" w:footer="0" w:header="0"/>
        </w:sectPr>
      </w:pPr>
    </w:p>
    <w:p>
      <w:pPr>
        <w:ind w:left="208" w:hanging="208"/>
        <w:spacing w:after="0" w:line="259" w:lineRule="auto"/>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ranges represent management’s best estimates based on the underlying assumptions as of the date of this press release. Future acquisitions, capital market transactions, changes in market conditions, and other factors are excluded from our projections. There can be no assurance that our actual results will not differ materially from the estimates set forth above.</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components of projected future results may not add due to rounding.</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“Components of Projected Interest Expense” below.</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transaction related costs not mentioned herein are not included in our current outlook.</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type w:val="continuous"/>
        </w:sectPr>
      </w:pPr>
    </w:p>
    <w:bookmarkStart w:id="17" w:name="page18"/>
    <w:bookmarkEnd w:id="17"/>
    <w:tbl>
      <w:tblPr>
        <w:tblLayout w:type="fixed"/>
        <w:tblInd w:w="8"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7380" w:type="dxa"/>
            <w:vAlign w:val="bottom"/>
            <w:gridSpan w:val="3"/>
          </w:tcPr>
          <w:p>
            <w:pPr>
              <w:jc w:val="center"/>
              <w:ind w:right="3920"/>
              <w:spacing w:after="0"/>
              <w:rPr>
                <w:sz w:val="20"/>
                <w:szCs w:val="20"/>
                <w:color w:val="auto"/>
              </w:rPr>
            </w:pPr>
            <w:r>
              <w:rPr>
                <w:rFonts w:ascii="Times New Roman" w:cs="Times New Roman" w:eastAsia="Times New Roman" w:hAnsi="Times New Roman"/>
                <w:sz w:val="12"/>
                <w:szCs w:val="12"/>
                <w:b w:val="1"/>
                <w:bCs w:val="1"/>
                <w:color w:val="auto"/>
              </w:rPr>
              <w:t>Uniti Group Inc.</w:t>
            </w: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4"/>
                <w:szCs w:val="14"/>
                <w:color w:val="auto"/>
              </w:rPr>
            </w:pPr>
          </w:p>
        </w:tc>
        <w:tc>
          <w:tcPr>
            <w:tcW w:w="7380" w:type="dxa"/>
            <w:vAlign w:val="bottom"/>
            <w:gridSpan w:val="3"/>
          </w:tcPr>
          <w:p>
            <w:pPr>
              <w:jc w:val="center"/>
              <w:ind w:right="3920"/>
              <w:spacing w:after="0" w:line="165" w:lineRule="exact"/>
              <w:rPr>
                <w:sz w:val="20"/>
                <w:szCs w:val="20"/>
                <w:color w:val="auto"/>
              </w:rPr>
            </w:pPr>
            <w:r>
              <w:rPr>
                <w:rFonts w:ascii="Times New Roman" w:cs="Times New Roman" w:eastAsia="Times New Roman" w:hAnsi="Times New Roman"/>
                <w:sz w:val="12"/>
                <w:szCs w:val="12"/>
                <w:b w:val="1"/>
                <w:bCs w:val="1"/>
                <w:color w:val="auto"/>
                <w:w w:val="97"/>
              </w:rPr>
              <w:t xml:space="preserve">Projected Future Results </w:t>
            </w:r>
            <w:r>
              <w:rPr>
                <w:rFonts w:ascii="Times New Roman" w:cs="Times New Roman" w:eastAsia="Times New Roman" w:hAnsi="Times New Roman"/>
                <w:sz w:val="19"/>
                <w:szCs w:val="19"/>
                <w:color w:val="auto"/>
                <w:w w:val="97"/>
                <w:vertAlign w:val="superscript"/>
              </w:rPr>
              <w:t>(1)</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7380" w:type="dxa"/>
            <w:vAlign w:val="bottom"/>
            <w:gridSpan w:val="3"/>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w w:val="99"/>
              </w:rPr>
              <w:t>(Per Diluted Share)</w:t>
            </w: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3"/>
        </w:trPr>
        <w:tc>
          <w:tcPr>
            <w:tcW w:w="39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attributable to common shareholders – Basic</w:t>
            </w:r>
          </w:p>
        </w:tc>
        <w:tc>
          <w:tcPr>
            <w:tcW w:w="570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ind w:left="820"/>
              <w:spacing w:after="0" w:line="133" w:lineRule="exact"/>
              <w:rPr>
                <w:sz w:val="20"/>
                <w:szCs w:val="20"/>
                <w:color w:val="auto"/>
              </w:rPr>
            </w:pPr>
            <w:r>
              <w:rPr>
                <w:rFonts w:ascii="Times New Roman" w:cs="Times New Roman" w:eastAsia="Times New Roman" w:hAnsi="Times New Roman"/>
                <w:sz w:val="12"/>
                <w:szCs w:val="12"/>
                <w:color w:val="auto"/>
                <w:w w:val="95"/>
              </w:rPr>
              <w:t>$ 0.40 to $ 0.48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Real estate depreciation and amortization</w:t>
            </w:r>
          </w:p>
        </w:tc>
        <w:tc>
          <w:tcPr>
            <w:tcW w:w="73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0.98</w:t>
            </w: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Participating securities’ share in earnings and FFO, net</w:t>
            </w:r>
          </w:p>
        </w:tc>
        <w:tc>
          <w:tcPr>
            <w:tcW w:w="57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FFO attributable to common shareholders – Basic </w:t>
            </w:r>
            <w:r>
              <w:rPr>
                <w:rFonts w:ascii="Times New Roman" w:cs="Times New Roman" w:eastAsia="Times New Roman" w:hAnsi="Times New Roman"/>
                <w:sz w:val="19"/>
                <w:szCs w:val="19"/>
                <w:b w:val="1"/>
                <w:bCs w:val="1"/>
                <w:color w:val="auto"/>
                <w:vertAlign w:val="superscript"/>
              </w:rPr>
              <w:t>(2)</w:t>
            </w:r>
          </w:p>
        </w:tc>
        <w:tc>
          <w:tcPr>
            <w:tcW w:w="5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20" w:type="dxa"/>
            <w:vAlign w:val="bottom"/>
            <w:vMerge w:val="continue"/>
          </w:tcPr>
          <w:p>
            <w:pPr>
              <w:spacing w:after="0"/>
              <w:rPr>
                <w:sz w:val="13"/>
                <w:szCs w:val="13"/>
                <w:color w:val="auto"/>
              </w:rPr>
            </w:pPr>
          </w:p>
        </w:tc>
        <w:tc>
          <w:tcPr>
            <w:tcW w:w="5700" w:type="dxa"/>
            <w:vAlign w:val="bottom"/>
          </w:tcPr>
          <w:p>
            <w:pPr>
              <w:spacing w:after="0"/>
              <w:rPr>
                <w:sz w:val="13"/>
                <w:szCs w:val="13"/>
                <w:color w:val="auto"/>
              </w:rPr>
            </w:pPr>
          </w:p>
        </w:tc>
        <w:tc>
          <w:tcPr>
            <w:tcW w:w="16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$ 1.35 to $ 1.43</w:t>
            </w: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Impact of if-converted securities</w:t>
            </w:r>
          </w:p>
        </w:tc>
        <w:tc>
          <w:tcPr>
            <w:tcW w:w="57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189" w:lineRule="exact"/>
              <w:rPr>
                <w:sz w:val="20"/>
                <w:szCs w:val="20"/>
                <w:color w:val="auto"/>
              </w:rPr>
            </w:pPr>
            <w:r>
              <w:rPr>
                <w:rFonts w:ascii="Times New Roman" w:cs="Times New Roman" w:eastAsia="Times New Roman" w:hAnsi="Times New Roman"/>
                <w:sz w:val="12"/>
                <w:szCs w:val="12"/>
                <w:b w:val="1"/>
                <w:bCs w:val="1"/>
                <w:color w:val="auto"/>
              </w:rPr>
              <w:t xml:space="preserve">FFO attributable to common shareholders – Diluted </w:t>
            </w:r>
            <w:r>
              <w:rPr>
                <w:rFonts w:ascii="Times New Roman" w:cs="Times New Roman" w:eastAsia="Times New Roman" w:hAnsi="Times New Roman"/>
                <w:sz w:val="19"/>
                <w:szCs w:val="19"/>
                <w:b w:val="1"/>
                <w:bCs w:val="1"/>
                <w:color w:val="auto"/>
                <w:vertAlign w:val="superscript"/>
              </w:rPr>
              <w:t>(2)</w:t>
            </w:r>
          </w:p>
        </w:tc>
        <w:tc>
          <w:tcPr>
            <w:tcW w:w="5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vMerge w:val="continue"/>
          </w:tcPr>
          <w:p>
            <w:pPr>
              <w:spacing w:after="0"/>
              <w:rPr>
                <w:sz w:val="15"/>
                <w:szCs w:val="15"/>
                <w:color w:val="auto"/>
              </w:rPr>
            </w:pPr>
          </w:p>
        </w:tc>
        <w:tc>
          <w:tcPr>
            <w:tcW w:w="5700" w:type="dxa"/>
            <w:vAlign w:val="bottom"/>
          </w:tcPr>
          <w:p>
            <w:pPr>
              <w:spacing w:after="0"/>
              <w:rPr>
                <w:sz w:val="15"/>
                <w:szCs w:val="15"/>
                <w:color w:val="auto"/>
              </w:rPr>
            </w:pPr>
          </w:p>
        </w:tc>
        <w:tc>
          <w:tcPr>
            <w:tcW w:w="16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$ 1.21 to $ 1.29</w:t>
            </w:r>
          </w:p>
        </w:tc>
        <w:tc>
          <w:tcPr>
            <w:tcW w:w="0" w:type="dxa"/>
            <w:vAlign w:val="bottom"/>
          </w:tcPr>
          <w:p>
            <w:pPr>
              <w:spacing w:after="0"/>
              <w:rPr>
                <w:sz w:val="1"/>
                <w:szCs w:val="1"/>
                <w:color w:val="auto"/>
              </w:rPr>
            </w:pPr>
          </w:p>
        </w:tc>
      </w:tr>
      <w:tr>
        <w:trPr>
          <w:trHeight w:val="144"/>
        </w:trPr>
        <w:tc>
          <w:tcPr>
            <w:tcW w:w="3920" w:type="dxa"/>
            <w:vAlign w:val="bottom"/>
            <w:tcBorders>
              <w:top w:val="single" w:sz="8" w:color="CCEEFF"/>
            </w:tcBorders>
            <w:shd w:val="clear" w:color="auto" w:fill="CCEEFF"/>
          </w:tcPr>
          <w:p>
            <w:pPr>
              <w:spacing w:after="0"/>
              <w:rPr>
                <w:sz w:val="12"/>
                <w:szCs w:val="12"/>
                <w:color w:val="auto"/>
              </w:rPr>
            </w:pPr>
          </w:p>
        </w:tc>
        <w:tc>
          <w:tcPr>
            <w:tcW w:w="57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FFO attributable to common shareholders – Basic </w:t>
            </w:r>
            <w:r>
              <w:rPr>
                <w:rFonts w:ascii="Times New Roman" w:cs="Times New Roman" w:eastAsia="Times New Roman" w:hAnsi="Times New Roman"/>
                <w:sz w:val="19"/>
                <w:szCs w:val="19"/>
                <w:b w:val="1"/>
                <w:bCs w:val="1"/>
                <w:color w:val="auto"/>
                <w:vertAlign w:val="superscript"/>
              </w:rPr>
              <w:t>(2)</w:t>
            </w:r>
          </w:p>
        </w:tc>
        <w:tc>
          <w:tcPr>
            <w:tcW w:w="5700" w:type="dxa"/>
            <w:vAlign w:val="bottom"/>
          </w:tcPr>
          <w:p>
            <w:pPr>
              <w:spacing w:after="0"/>
              <w:rPr>
                <w:sz w:val="14"/>
                <w:szCs w:val="14"/>
                <w:color w:val="auto"/>
              </w:rPr>
            </w:pPr>
          </w:p>
        </w:tc>
        <w:tc>
          <w:tcPr>
            <w:tcW w:w="16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$ 1.35 to $ 1.43</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Transaction related and other costs </w:t>
            </w:r>
            <w:r>
              <w:rPr>
                <w:rFonts w:ascii="Times New Roman" w:cs="Times New Roman" w:eastAsia="Times New Roman" w:hAnsi="Times New Roman"/>
                <w:sz w:val="19"/>
                <w:szCs w:val="19"/>
                <w:color w:val="auto"/>
                <w:vertAlign w:val="superscript"/>
              </w:rPr>
              <w:t>(3)</w:t>
            </w:r>
          </w:p>
        </w:tc>
        <w:tc>
          <w:tcPr>
            <w:tcW w:w="7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deferred financing costs and debt discount</w:t>
            </w:r>
          </w:p>
        </w:tc>
        <w:tc>
          <w:tcPr>
            <w:tcW w:w="73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0.11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Accretion of settlement payable </w:t>
            </w:r>
            <w:r>
              <w:rPr>
                <w:rFonts w:ascii="Times New Roman" w:cs="Times New Roman" w:eastAsia="Times New Roman" w:hAnsi="Times New Roman"/>
                <w:sz w:val="19"/>
                <w:szCs w:val="19"/>
                <w:color w:val="auto"/>
                <w:vertAlign w:val="superscript"/>
              </w:rPr>
              <w:t>(4)</w:t>
            </w:r>
          </w:p>
        </w:tc>
        <w:tc>
          <w:tcPr>
            <w:tcW w:w="7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3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Non-real estate depreciation and amortization</w:t>
            </w:r>
          </w:p>
        </w:tc>
        <w:tc>
          <w:tcPr>
            <w:tcW w:w="7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0.37</w:t>
            </w:r>
          </w:p>
        </w:tc>
        <w:tc>
          <w:tcPr>
            <w:tcW w:w="0" w:type="dxa"/>
            <w:vAlign w:val="bottom"/>
          </w:tcPr>
          <w:p>
            <w:pPr>
              <w:spacing w:after="0"/>
              <w:rPr>
                <w:sz w:val="1"/>
                <w:szCs w:val="1"/>
                <w:color w:val="auto"/>
              </w:rPr>
            </w:pPr>
          </w:p>
        </w:tc>
      </w:tr>
      <w:tr>
        <w:trPr>
          <w:trHeight w:val="144"/>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Straight-line revenues</w:t>
            </w:r>
          </w:p>
        </w:tc>
        <w:tc>
          <w:tcPr>
            <w:tcW w:w="73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(0.08)</w:t>
            </w: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Maintenance capital expenditures</w:t>
            </w:r>
          </w:p>
        </w:tc>
        <w:tc>
          <w:tcPr>
            <w:tcW w:w="7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Other, net</w:t>
            </w:r>
          </w:p>
        </w:tc>
        <w:tc>
          <w:tcPr>
            <w:tcW w:w="5700" w:type="dxa"/>
            <w:vAlign w:val="bottom"/>
          </w:tcPr>
          <w:p>
            <w:pPr>
              <w:spacing w:after="0"/>
              <w:rPr>
                <w:sz w:val="13"/>
                <w:szCs w:val="13"/>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AFFO attributable to common shareholders – Basic </w:t>
            </w:r>
            <w:r>
              <w:rPr>
                <w:rFonts w:ascii="Times New Roman" w:cs="Times New Roman" w:eastAsia="Times New Roman" w:hAnsi="Times New Roman"/>
                <w:sz w:val="19"/>
                <w:szCs w:val="19"/>
                <w:b w:val="1"/>
                <w:bCs w:val="1"/>
                <w:color w:val="auto"/>
                <w:vertAlign w:val="superscript"/>
              </w:rPr>
              <w:t>(2)</w:t>
            </w:r>
          </w:p>
        </w:tc>
        <w:tc>
          <w:tcPr>
            <w:tcW w:w="57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20" w:type="dxa"/>
            <w:vAlign w:val="bottom"/>
            <w:vMerge w:val="continue"/>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$ 1.55 to $ 1.63</w:t>
            </w: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Impact of if-converted securities</w:t>
            </w:r>
          </w:p>
        </w:tc>
        <w:tc>
          <w:tcPr>
            <w:tcW w:w="5700" w:type="dxa"/>
            <w:vAlign w:val="bottom"/>
          </w:tcPr>
          <w:p>
            <w:pPr>
              <w:spacing w:after="0"/>
              <w:rPr>
                <w:sz w:val="13"/>
                <w:szCs w:val="13"/>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(0.15)</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2"/>
                <w:szCs w:val="12"/>
                <w:b w:val="1"/>
                <w:bCs w:val="1"/>
                <w:color w:val="auto"/>
              </w:rPr>
              <w:t xml:space="preserve">AFFO attributable to common shareholders – Diluted </w:t>
            </w:r>
            <w:r>
              <w:rPr>
                <w:rFonts w:ascii="Times New Roman" w:cs="Times New Roman" w:eastAsia="Times New Roman" w:hAnsi="Times New Roman"/>
                <w:sz w:val="19"/>
                <w:szCs w:val="19"/>
                <w:b w:val="1"/>
                <w:bCs w:val="1"/>
                <w:color w:val="auto"/>
                <w:vertAlign w:val="superscript"/>
              </w:rPr>
              <w:t>(2)</w:t>
            </w:r>
          </w:p>
        </w:tc>
        <w:tc>
          <w:tcPr>
            <w:tcW w:w="57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vMerge w:val="continue"/>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$ 1.40 to $ 1.47</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9451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31" w:lineRule="exact"/>
        <w:rPr>
          <w:sz w:val="20"/>
          <w:szCs w:val="20"/>
          <w:color w:val="auto"/>
        </w:rPr>
      </w:pPr>
    </w:p>
    <w:p>
      <w:pPr>
        <w:ind w:left="208" w:hanging="208"/>
        <w:spacing w:after="0" w:line="259" w:lineRule="auto"/>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ranges represent management’s best estimates based on the underlying assumptions as of the date of this press release. Future acquisitions, capital market transactions, changes in market conditions, and other factors are excluded from our projections. There can be no assurance that our actual results will not differ materially from the estimates set forth above.</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components of projected future results may not add to FFO and AFFO attributable to common shareholders due to rounding.</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transaction related and other costs are not included in our current outlook.</w:t>
      </w:r>
    </w:p>
    <w:p>
      <w:pPr>
        <w:spacing w:after="0" w:line="6" w:lineRule="exact"/>
        <w:rPr>
          <w:rFonts w:ascii="Times New Roman" w:cs="Times New Roman" w:eastAsia="Times New Roman" w:hAnsi="Times New Roman"/>
          <w:sz w:val="12"/>
          <w:szCs w:val="12"/>
          <w:color w:val="auto"/>
        </w:rPr>
      </w:pPr>
    </w:p>
    <w:p>
      <w:pPr>
        <w:ind w:left="208" w:hanging="208"/>
        <w:spacing w:after="0" w:line="260" w:lineRule="auto"/>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accretion of the Windstream settlement payable to its stated value. At the effective date of the settlement, we recorded the payable on the balance sheet at its initial fair value, which will be accreted based on an effective interest rate of 4.2% and reduced by the scheduled quarterly payments.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8" w:name="page19"/>
    <w:bookmarkEnd w:id="18"/>
    <w:p>
      <w:pPr>
        <w:ind w:left="5228"/>
        <w:spacing w:after="0"/>
        <w:rPr>
          <w:sz w:val="20"/>
          <w:szCs w:val="20"/>
          <w:color w:val="auto"/>
        </w:rPr>
      </w:pPr>
      <w:r>
        <w:rPr>
          <w:rFonts w:ascii="Times New Roman" w:cs="Times New Roman" w:eastAsia="Times New Roman" w:hAnsi="Times New Roman"/>
          <w:sz w:val="12"/>
          <w:szCs w:val="12"/>
          <w:b w:val="1"/>
          <w:bCs w:val="1"/>
          <w:color w:val="auto"/>
        </w:rPr>
        <w:t>Uniti Group Inc.</w:t>
      </w:r>
    </w:p>
    <w:p>
      <w:pPr>
        <w:jc w:val="right"/>
        <w:ind w:right="2100"/>
        <w:spacing w:after="0" w:line="212" w:lineRule="auto"/>
        <w:rPr>
          <w:sz w:val="20"/>
          <w:szCs w:val="20"/>
          <w:color w:val="auto"/>
        </w:rPr>
      </w:pPr>
      <w:r>
        <w:rPr>
          <w:rFonts w:ascii="Times New Roman" w:cs="Times New Roman" w:eastAsia="Times New Roman" w:hAnsi="Times New Roman"/>
          <w:sz w:val="12"/>
          <w:szCs w:val="12"/>
          <w:b w:val="1"/>
          <w:bCs w:val="1"/>
          <w:color w:val="auto"/>
        </w:rPr>
        <w:t xml:space="preserve">Components of Projected Interest Expense </w:t>
      </w:r>
      <w:r>
        <w:rPr>
          <w:rFonts w:ascii="Times New Roman" w:cs="Times New Roman" w:eastAsia="Times New Roman" w:hAnsi="Times New Roman"/>
          <w:sz w:val="19"/>
          <w:szCs w:val="19"/>
          <w:color w:val="auto"/>
          <w:vertAlign w:val="superscript"/>
        </w:rPr>
        <w:t>(1)</w:t>
      </w:r>
    </w:p>
    <w:p>
      <w:pPr>
        <w:ind w:left="5328"/>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expense on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78040" cy="97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Accretion of Windstream settlement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78040"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Amortization of deferred financing cost and debt discounts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Interest expense, net </w:t>
      </w:r>
      <w:r>
        <w:rPr>
          <w:rFonts w:ascii="Times New Roman" w:cs="Times New Roman" w:eastAsia="Times New Roman" w:hAnsi="Times New Roman"/>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79451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spacing w:after="0"/>
              <w:rPr>
                <w:sz w:val="12"/>
                <w:szCs w:val="12"/>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59"/>
        </w:trPr>
        <w:tc>
          <w:tcPr>
            <w:tcW w:w="18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22"/>
        </w:trPr>
        <w:tc>
          <w:tcPr>
            <w:tcW w:w="180" w:type="dxa"/>
            <w:vAlign w:val="bottom"/>
            <w:tcBorders>
              <w:top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504</w:t>
            </w:r>
          </w:p>
        </w:tc>
        <w:tc>
          <w:tcPr>
            <w:tcW w:w="20" w:type="dxa"/>
            <w:vAlign w:val="bottom"/>
          </w:tcPr>
          <w:p>
            <w:pPr>
              <w:spacing w:after="0"/>
              <w:rPr>
                <w:sz w:val="10"/>
                <w:szCs w:val="10"/>
                <w:color w:val="auto"/>
              </w:rPr>
            </w:pPr>
          </w:p>
        </w:tc>
      </w:tr>
      <w:tr>
        <w:trPr>
          <w:trHeight w:val="153"/>
        </w:trPr>
        <w:tc>
          <w:tcPr>
            <w:tcW w:w="18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r>
      <w:tr>
        <w:trPr>
          <w:trHeight w:val="155"/>
        </w:trPr>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w:t>
            </w:r>
          </w:p>
        </w:tc>
      </w:tr>
      <w:tr>
        <w:trPr>
          <w:trHeight w:val="176"/>
        </w:trPr>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532</w:t>
            </w:r>
          </w:p>
        </w:tc>
      </w:tr>
    </w:tbl>
    <w:p>
      <w:pPr>
        <w:spacing w:after="0" w:line="151" w:lineRule="exact"/>
        <w:rPr>
          <w:sz w:val="20"/>
          <w:szCs w:val="20"/>
          <w:color w:val="auto"/>
        </w:rPr>
      </w:pPr>
    </w:p>
    <w:p>
      <w:pPr>
        <w:sectPr>
          <w:pgSz w:w="11900" w:h="16838" w:orient="portrait"/>
          <w:cols w:equalWidth="0" w:num="2">
            <w:col w:w="8908" w:space="720"/>
            <w:col w:w="1680"/>
          </w:cols>
          <w:pgMar w:left="292" w:top="647" w:right="299" w:bottom="1440" w:gutter="0" w:footer="0" w:header="0"/>
        </w:sectPr>
      </w:pPr>
    </w:p>
    <w:p>
      <w:pPr>
        <w:ind w:left="208" w:hanging="208"/>
        <w:spacing w:after="0" w:line="25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ranges represent management’s best estimates based on the underlying assumptions as of the date of this press release. Future acquisitions, capital market transactions, changes in market conditions, and other factors are excluded from our projections. There can be no assurance that our actual results will not differ materially from the estimates set forth above.</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components of interest expense may not add to the total due to rounding.</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19"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26"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type w:val="continuous"/>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2"/>
          <w:szCs w:val="12"/>
          <w:color w:val="auto"/>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tenant capital improvements;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AND MEDIA 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Paul Bullington, 251-662-1512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Chief Financial Officer &amp; Treasurer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paul.bullington@uniti.com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Bill DiTullio, 501-850-0872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Investor Relations &amp; Treasury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bill.ditullio@uniti.com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 w:name="page21"/>
    <w:bookmarkEnd w:id="2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6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Windstream 4Q24 Earnings Call – Prepared Remarks</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February 20,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Genesis White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 morning everyone and thank you for joining Windstream’s fourth quarter 2024 earnings conference call.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Joining me on the call today are:</w:t>
      </w:r>
    </w:p>
    <w:p>
      <w:pPr>
        <w:spacing w:after="0" w:line="150"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Paul Sunu, our CEO,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Drew Smith, our CFO and Treasurer</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To accompany today’s call, we have posted the presentation slides and supplemental schedule on our various investor websites. If you do not have access to these websites, please reach out to me at Genesis dot White at windstream dot com.</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Our financial statements, prepared in accordance with U.S. GAAP, will be available by mid- March to our lenders and investors, in compliance with the terms of the Credit Agreement, Indenture, and Amended and Restated LLC Agreement.</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Today’s discussion includes statements about expected future events and financial results that are forward-looking and subject to risks and uncertainties and the disclosure to our forward-looking statements will be contained in our financial statements. Let me now turn it over to Paul Sunu.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color w:val="auto"/>
        </w:rPr>
        <w:t>Paul Sunu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 morning and thank you for joining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Today, we are pleased to share with you our 2024 results, which showed solid financial and operational performance across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2024 we embraced and instilled quality into every element of our operations from construction to installation to repair and care.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through it we brought greater customer satisfaction and increased operational productivity while seeing meaningful reductions in churn and call center volumes.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Further, in advance of accelerating and expanding our fiber builds, we elevated the skills of our technicians, and local managers, and promoted a culture of assuring quality with every installation and every repair.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that, allow me to share a few highlights of our full year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seen on Slide 4, Windstream executed on its key priorities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enhanced our strategic profile by bringing our network back with our operations through the announced merger with Uniti.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Further, through multiple refinancing transactions, we improved our debt maturity profile and added the required liquidity to fully fund our enhanced build plan for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through operational effectiveness we achieved our strategic priorities and financial guidance for the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Within Kinetic, we increased our fiber coverage and grew our fiber subscribers year-over-year, highlighting our continued commitment to extending our fiber footprint within Kinetic’s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Enterprise and Wholesale continued their solid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Inside Enterprise, our Strategic and Advanced IP portfolio revenues reached 91% of our total Enterprise Market service revenues on an annualized basis, excluding end-user surcharges.</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Windstream Wholesale continues to demonstrate its market leadership in innovation with the first ever 800G transatlantic connection. Furthermore, Wholesale’s core fiber transport service continues to resonate with carriers, content providers and hyperscalers.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Slide 5 provides a bit more insight into Kinetic’s Fiber performance for the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extended our fiber coverage by passing an additional 167,000 consumer premises during the year, or growth of 11% year-over-year, bringing our total to over 1.6 million consumer premises passed or 37% of Kinetic’s footprint.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While we made great strides in extending our fiber reach during the year, we experienced an unusual series of devasting natural disasters in our service territories—including tornados, wildfires and back-to-back Hurricanes.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events required us to redirect resources towards recovery and restoration efforts in the back half of the year, impacting operational trends in the fourth quarter.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priority is the safe and complete restoral of services for our customers and the communities we serve.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so, I am happy to say that we have substantially completed all restoration and clean-up efforts, and the team is now poised and sharply focused on executing on our 2025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300" w:top="651"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Now let’s take a look at our fiber subscriber growth.</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Despite a slow-down in the fourth quarter from the impact of the afore-mentioned storms, our fiber subscribers grew 16% year-over-year and fiber subscriber revenue grew 27% for the same period, demonstrating strong adoption of our fiber product.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ended the year with approximately 450,000 subscribers on our fiber network, representing a 27.4% penetration rate, an improvement of 110 basis points year-over-year.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you can see the performance of our Fiber Fast Start initiative on Slide 6, as our latest cohorts continue to show impressive penetration results.</w:t>
      </w:r>
    </w:p>
    <w:p>
      <w:pPr>
        <w:spacing w:after="0" w:line="15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Furthermore, we launched our Fiber Forward initiative during the second quarter, which leverages the tactics and learning from Fiber Fast Start to reinvigorate our older cohorts. While this program is still ramping, we are seeing encouraging improvements in the markets launched, including as much as a 50% increase in sales.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indicators are a positive sign, and to further drive penetration in our older cohorts, we intend to apply this initiative to nearly three times the number of households in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Overall, I am quite pleased with our performance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demonstrated continued momentum across our strategic initiatives, as well as operational improvements generated from our quality focus, all of which serves as a solid platform for executing on our 2025 initiatives.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Now, slide 7 shows our 2025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color w:val="auto"/>
        </w:rPr>
        <w:t>We plan to build more fiber to meet the growing demands in our residential, business, and wholesale markets.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Looking at slide 8, our plan is to nearly double the rate of our fiber builds in 2025, compared to what was completed last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will result in about 2 million consumer premises passed, or 43% coverage of our Kinetic footprint, by the end of this year.</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ramp in our internal construction hiring, the increased training and adherence to our quality standards, along with the additional funding from our recent refinancing activities, all contribute to facilitating the execution of our 2025 vision to accelerate fiber deployment.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through the demonstrated successes of our fiber fast start and fiber forward initiatives, we expect to drive increased penetration in our fiber markets.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we want to more effectively mine the high-margin, on-net businesses in our Kinetic markets.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utilizing the go to market expertise, as well as the products and services, of our Enterprise team can generate the momentum for growth in this area.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the same time, we have entrusted the care of our valuable base of Enterprise customers to a select team of skilled professionals.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finally, before we get to our financial results, let me address the progress on our planned merger with Uniti.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now received sixteen state approvals and have two state approvals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51"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color w:val="auto"/>
        </w:rPr>
        <w:t>In addition, the SEC completed its review of the Form S-4 earlier this month and the Registration Statement has now been declared effective.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defer to Uniti management on specifics of the transaction and next steps in the closing process.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still expect the merger to close in the second half of 2025, subject to customary closing conditions, including receipt of regulatory and Uniti shareholder approvals.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meantime, we remain steadfast in executing on our 2025 priorities, delivering high-quality service to our customers and driving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that, let me turn the call over to Drew to cover our financial highlights for the quarter, as well as our 2025 financial and operational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color w:val="auto"/>
        </w:rPr>
        <w:t>Drew Smith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Paul, and good morning everyone.</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First, I wanted to take time to highlight our recent financing transactions. Earlier in the quarter, we completed the issuance of $800 million in senior first lien notes, as well as a new $500 million incremental term loan, both of which mature in 2031. Proceeds from these issuances were used to repay our existing Term Loans, as well as adding additional liquidity of over $300 million. We intend to use this incremental liquidity for the expansion and acceleration of our Kinetic fiber-to-the-home buildout, which Paul walked through earlier.</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Later in the quarter, we completed an additional refinancing transaction that included a $1.4 billion add-on to the recently issued 2031 senior first lien notes. This refinancing resulted in the redemption of our existing 2028 senior first lien notes, which allowed for meaningful maturity extension while remaining leverage neutral. With the successful completion of these transactions, Windstream now has no debt maturities for over six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Turning to Slide 9, we show our fourth quarter financial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quarter, Windstream generated:</w:t>
      </w:r>
    </w:p>
    <w:p>
      <w:pPr>
        <w:spacing w:after="0" w:line="150"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revenues of $875 million, and</w:t>
      </w:r>
    </w:p>
    <w:p>
      <w:pPr>
        <w:spacing w:after="0" w:line="150" w:lineRule="exact"/>
        <w:rPr>
          <w:rFonts w:ascii="Times New Roman" w:cs="Times New Roman" w:eastAsia="Times New Roman" w:hAnsi="Times New Roman"/>
          <w:sz w:val="12"/>
          <w:szCs w:val="12"/>
          <w:color w:val="auto"/>
        </w:rPr>
      </w:pPr>
    </w:p>
    <w:p>
      <w:pPr>
        <w:ind w:left="420" w:right="320" w:hanging="212"/>
        <w:spacing w:after="0" w:line="279"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EBITDAR of $328 million, which was down 13% year-over-year due to declining Enterprise &amp; Wholesale legacy margins, as well as lower Kinetic margins primarily driven by impact from the ACP funding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00" w:top="647"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Moving to our market-level business revenue trends: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Within Kinetic:</w:t>
      </w:r>
    </w:p>
    <w:p>
      <w:pPr>
        <w:spacing w:after="0" w:line="150" w:lineRule="exact"/>
        <w:rPr>
          <w:sz w:val="20"/>
          <w:szCs w:val="20"/>
          <w:color w:val="auto"/>
        </w:rPr>
      </w:pPr>
    </w:p>
    <w:p>
      <w:pPr>
        <w:ind w:left="460" w:hanging="225"/>
        <w:spacing w:after="0"/>
        <w:tabs>
          <w:tab w:leader="none" w:pos="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Service revenue was $503 million, which was down 6.9% year-over-year, with consumer service revenue down 5.2% year-over-year, driven largely by the ACP funding step-downs.</w:t>
      </w:r>
    </w:p>
    <w:p>
      <w:pPr>
        <w:spacing w:after="0" w:line="150" w:lineRule="exact"/>
        <w:rPr>
          <w:rFonts w:ascii="Times New Roman" w:cs="Times New Roman" w:eastAsia="Times New Roman" w:hAnsi="Times New Roman"/>
          <w:sz w:val="12"/>
          <w:szCs w:val="12"/>
          <w:color w:val="auto"/>
        </w:rPr>
      </w:pPr>
    </w:p>
    <w:p>
      <w:pPr>
        <w:ind w:left="460" w:hanging="225"/>
        <w:spacing w:after="0"/>
        <w:tabs>
          <w:tab w:leader="none" w:pos="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Kinetic fiber subscriber revenue was up 21% year-over-year, and fiber ARPU of $72.37 was up 3% year-over-year.</w:t>
      </w:r>
    </w:p>
    <w:p>
      <w:pPr>
        <w:spacing w:after="0" w:line="150" w:lineRule="exact"/>
        <w:rPr>
          <w:rFonts w:ascii="Times New Roman" w:cs="Times New Roman" w:eastAsia="Times New Roman" w:hAnsi="Times New Roman"/>
          <w:sz w:val="12"/>
          <w:szCs w:val="12"/>
          <w:color w:val="auto"/>
        </w:rPr>
      </w:pPr>
    </w:p>
    <w:p>
      <w:pPr>
        <w:ind w:right="420" w:firstLine="235"/>
        <w:spacing w:after="0" w:line="500" w:lineRule="auto"/>
        <w:tabs>
          <w:tab w:leader="none" w:pos="459"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Fiber consumer broadband subscribers grew by 10,500 during the quarter. This was offset by a loss of 35,300 DSL customers, resulting in a net decrease in total broadband units of 24,800 for the quarter. Within Enterprise:</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Service revenue was $261 million, down 17%, as legacy-TDM revenues continue to see ongoing declines as expected.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Notably, approximately 91% of Enterprise Market service revenues, excluding end-user surcharges, came from our Strategic and Advanced IP portfolios. These combined revenues were down 5% for the full year.</w:t>
      </w:r>
    </w:p>
    <w:p>
      <w:pPr>
        <w:spacing w:after="0" w:line="161"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TDM and Other revenue declined 50% year-over-year as we continue to execute our TDM exit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600"/>
          </w:cols>
          <w:pgMar w:left="300" w:top="65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color w:val="auto"/>
        </w:rPr>
        <w:t>Within Wholesale:</w:t>
      </w:r>
    </w:p>
    <w:p>
      <w:pPr>
        <w:spacing w:after="0" w:line="150" w:lineRule="exact"/>
        <w:rPr>
          <w:sz w:val="20"/>
          <w:szCs w:val="20"/>
          <w:color w:val="auto"/>
        </w:rPr>
      </w:pPr>
    </w:p>
    <w:p>
      <w:pPr>
        <w:ind w:left="460" w:hanging="225"/>
        <w:spacing w:after="0" w:line="279" w:lineRule="auto"/>
        <w:tabs>
          <w:tab w:leader="none" w:pos="4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Service revenue was $102 million, down 1.8% year-over-year, driven by declines in legacy revenues. Strategic revenues had solid performance during the quarter highlighted by high demand being seen from carriers, content providers and hyperscalers.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Turning to expenses:</w:t>
      </w:r>
    </w:p>
    <w:p>
      <w:pPr>
        <w:spacing w:after="0" w:line="150" w:lineRule="exact"/>
        <w:rPr>
          <w:sz w:val="20"/>
          <w:szCs w:val="20"/>
          <w:color w:val="auto"/>
        </w:rPr>
      </w:pPr>
    </w:p>
    <w:p>
      <w:pPr>
        <w:ind w:left="420" w:right="100" w:hanging="212"/>
        <w:spacing w:after="0" w:line="279"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cash expenses during the fourth quarter fell by over $40 million, or approximately 7%, year-over-year, driven by our interconnection expense reduction activities, as well as our quality and unification efforts across the company. Cash expenses fell by almost $240 million in 2024 over 2023 levels.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Notably, our interconnection and network facility expenses fell by 15% year-over-year on an annualized basis as we continue our TDM exit plan, which we expect to complete this year.</w:t>
      </w:r>
    </w:p>
    <w:p>
      <w:pPr>
        <w:spacing w:after="0" w:line="1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Transitioning to slide 10, Windstream has a strong balance sheet, and following the refinancing transactions discussed earlier, we have no current debt maturities until 2031. Overall, these transactions put us in a great position as it relates to the combined capital structure with Uniti post- merger close, while also providing opportunities for us to fund our expanded fiber build plan in 2025. As of December 31st, we ended with $640 million in total liquidity and a net debt to adjusted EBITDA ratio of 2.35x.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5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color w:val="auto"/>
        </w:rPr>
        <w:t>On slide 11, we introduce our 2025 financial and operational guidance, which includes:</w:t>
      </w:r>
    </w:p>
    <w:p>
      <w:pPr>
        <w:spacing w:after="0" w:line="150"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EBITDAR, of approximately $1.4 billion;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interest of approximately $230 million following our recent refinancing transactions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Capital expenditures will step-up to approximately $1.1 billion, reflecting the impact of our accelerated and expanded fiber build program; and finally,</w:t>
      </w:r>
    </w:p>
    <w:p>
      <w:pPr>
        <w:spacing w:after="0" w:line="161"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low-single digit growth in Kinetic consumer subscriber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Now, I will turn the call back over to Paul for some closing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color w:val="auto"/>
        </w:rPr>
        <w:t>Paul Sunu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Drew.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closing, Windstream delivered solid financial and operational results across our business during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continue to extend our fiber footprint within our Kinetic markets.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And in 2025 we plan to build on the foundation of quality we created last year by accelerating our fiber builds and propelling our fiber penetration.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that, we can now open the call up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0159"/>
      </w:cols>
      <w:pgMar w:left="300" w:top="6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lvl w:ilvl="1">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2025-02-21T07:15:00Z</dcterms:created>
  <dcterms:modified xsi:type="dcterms:W3CDTF">2025-02-21T07:15:00Z</dcterms:modified>
</cp:coreProperties>
</file>