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178435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7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Date of Report (Date of earliest event reported): February 6,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Uniti Group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p>
      <w:pPr>
        <w:spacing w:after="0" w:line="200" w:lineRule="exact"/>
        <w:rPr>
          <w:sz w:val="24"/>
          <w:szCs w:val="24"/>
          <w:color w:val="auto"/>
        </w:rPr>
      </w:pPr>
    </w:p>
    <w:p>
      <w:pPr>
        <w:spacing w:after="0" w:line="289" w:lineRule="exact"/>
        <w:rPr>
          <w:sz w:val="24"/>
          <w:szCs w:val="24"/>
          <w:color w:val="auto"/>
        </w:rPr>
      </w:pPr>
    </w:p>
    <w:p>
      <w:pPr>
        <w:ind w:left="148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9"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001-36708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46-5230630</w:t>
      </w:r>
    </w:p>
    <w:p>
      <w:pPr>
        <w:spacing w:after="0" w:line="31" w:lineRule="exact"/>
        <w:rPr>
          <w:sz w:val="24"/>
          <w:szCs w:val="24"/>
          <w:color w:val="auto"/>
        </w:rPr>
      </w:pPr>
    </w:p>
    <w:p>
      <w:pPr>
        <w:sectPr>
          <w:pgSz w:w="11900" w:h="16838" w:orient="portrait"/>
          <w:cols w:equalWidth="0" w:num="3">
            <w:col w:w="4700" w:space="720"/>
            <w:col w:w="3080" w:space="720"/>
            <w:col w:w="2180"/>
          </w:cols>
          <w:pgMar w:left="240" w:top="476" w:right="259" w:bottom="1440" w:gutter="0" w:footer="0" w:header="0"/>
          <w:type w:val="continuous"/>
        </w:sectPr>
      </w:pPr>
    </w:p>
    <w:p>
      <w:pPr>
        <w:spacing w:after="0" w:line="11" w:lineRule="exact"/>
        <w:rPr>
          <w:sz w:val="24"/>
          <w:szCs w:val="24"/>
          <w:color w:val="auto"/>
        </w:rPr>
      </w:pPr>
    </w:p>
    <w:p>
      <w:pPr>
        <w:jc w:val="center"/>
        <w:ind w:right="960"/>
        <w:spacing w:after="0"/>
        <w:rPr>
          <w:sz w:val="20"/>
          <w:szCs w:val="20"/>
          <w:color w:val="auto"/>
        </w:rPr>
      </w:pPr>
      <w:r>
        <w:rPr>
          <w:rFonts w:ascii="Arial" w:cs="Arial" w:eastAsia="Arial" w:hAnsi="Arial"/>
          <w:sz w:val="13"/>
          <w:szCs w:val="13"/>
          <w:b w:val="1"/>
          <w:bCs w:val="1"/>
          <w:color w:val="auto"/>
        </w:rPr>
        <w:t>(State or other jurisdiction</w:t>
      </w:r>
    </w:p>
    <w:p>
      <w:pPr>
        <w:jc w:val="center"/>
        <w:ind w:right="9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80"/>
        <w:spacing w:after="0"/>
        <w:rPr>
          <w:sz w:val="20"/>
          <w:szCs w:val="20"/>
          <w:color w:val="auto"/>
        </w:rPr>
      </w:pPr>
      <w:r>
        <w:rPr>
          <w:rFonts w:ascii="Arial" w:cs="Arial" w:eastAsia="Arial" w:hAnsi="Arial"/>
          <w:sz w:val="14"/>
          <w:szCs w:val="14"/>
          <w:b w:val="1"/>
          <w:bCs w:val="1"/>
          <w:color w:val="auto"/>
        </w:rPr>
        <w:t>(IRS Employer</w:t>
      </w:r>
    </w:p>
    <w:p>
      <w:pPr>
        <w:jc w:val="center"/>
        <w:ind w:right="118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680" w:space="720"/>
            <w:col w:w="2980" w:space="720"/>
            <w:col w:w="2300"/>
          </w:cols>
          <w:pgMar w:left="240" w:top="476" w:right="259" w:bottom="1440" w:gutter="0" w:footer="0" w:header="0"/>
          <w:type w:val="continuous"/>
        </w:sectPr>
      </w:pPr>
    </w:p>
    <w:p>
      <w:pPr>
        <w:spacing w:after="0" w:line="33" w:lineRule="exact"/>
        <w:rPr>
          <w:sz w:val="24"/>
          <w:szCs w:val="24"/>
          <w:color w:val="auto"/>
        </w:rPr>
      </w:pPr>
    </w:p>
    <w:p>
      <w:pPr>
        <w:jc w:val="center"/>
        <w:ind w:right="2260"/>
        <w:spacing w:after="0"/>
        <w:rPr>
          <w:sz w:val="20"/>
          <w:szCs w:val="20"/>
          <w:color w:val="auto"/>
        </w:rPr>
      </w:pPr>
      <w:r>
        <w:rPr>
          <w:rFonts w:ascii="Arial" w:cs="Arial" w:eastAsia="Arial" w:hAnsi="Arial"/>
          <w:sz w:val="16"/>
          <w:szCs w:val="16"/>
          <w:b w:val="1"/>
          <w:bCs w:val="1"/>
          <w:color w:val="auto"/>
        </w:rPr>
        <w:t>10802 Executive Center Drive</w:t>
      </w:r>
    </w:p>
    <w:p>
      <w:pPr>
        <w:spacing w:after="0" w:line="50" w:lineRule="exact"/>
        <w:rPr>
          <w:sz w:val="24"/>
          <w:szCs w:val="24"/>
          <w:color w:val="auto"/>
        </w:rPr>
      </w:pPr>
    </w:p>
    <w:p>
      <w:pPr>
        <w:jc w:val="center"/>
        <w:ind w:right="2260"/>
        <w:spacing w:after="0"/>
        <w:rPr>
          <w:sz w:val="20"/>
          <w:szCs w:val="20"/>
          <w:color w:val="auto"/>
        </w:rPr>
      </w:pPr>
      <w:r>
        <w:rPr>
          <w:rFonts w:ascii="Arial" w:cs="Arial" w:eastAsia="Arial" w:hAnsi="Arial"/>
          <w:sz w:val="18"/>
          <w:szCs w:val="18"/>
          <w:b w:val="1"/>
          <w:bCs w:val="1"/>
          <w:color w:val="auto"/>
        </w:rPr>
        <w:t>Benton Building Suite 300</w:t>
      </w:r>
    </w:p>
    <w:p>
      <w:pPr>
        <w:spacing w:after="0" w:line="9" w:lineRule="exact"/>
        <w:rPr>
          <w:sz w:val="24"/>
          <w:szCs w:val="24"/>
          <w:color w:val="auto"/>
        </w:rPr>
      </w:pPr>
    </w:p>
    <w:p>
      <w:pPr>
        <w:jc w:val="center"/>
        <w:ind w:right="2260"/>
        <w:spacing w:after="0"/>
        <w:rPr>
          <w:sz w:val="20"/>
          <w:szCs w:val="20"/>
          <w:color w:val="auto"/>
        </w:rPr>
      </w:pPr>
      <w:r>
        <w:rPr>
          <w:rFonts w:ascii="Arial" w:cs="Arial" w:eastAsia="Arial" w:hAnsi="Arial"/>
          <w:sz w:val="18"/>
          <w:szCs w:val="18"/>
          <w:b w:val="1"/>
          <w:bCs w:val="1"/>
          <w:color w:val="auto"/>
        </w:rPr>
        <w:t>Little Rock, Arkansas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8"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72211</w:t>
      </w:r>
    </w:p>
    <w:p>
      <w:pPr>
        <w:spacing w:after="0" w:line="62" w:lineRule="exact"/>
        <w:rPr>
          <w:sz w:val="24"/>
          <w:szCs w:val="24"/>
          <w:color w:val="auto"/>
        </w:rPr>
      </w:pPr>
    </w:p>
    <w:p>
      <w:pPr>
        <w:sectPr>
          <w:pgSz w:w="11900" w:h="16838" w:orient="portrait"/>
          <w:cols w:equalWidth="0" w:num="2">
            <w:col w:w="7800" w:space="720"/>
            <w:col w:w="2880"/>
          </w:cols>
          <w:pgMar w:left="240" w:top="476" w:right="259" w:bottom="1440" w:gutter="0" w:footer="0" w:header="0"/>
          <w:type w:val="continuous"/>
        </w:sectPr>
      </w:pPr>
    </w:p>
    <w:p>
      <w:pPr>
        <w:ind w:left="15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89" w:lineRule="exact"/>
        <w:rPr>
          <w:sz w:val="24"/>
          <w:szCs w:val="24"/>
          <w:color w:val="auto"/>
        </w:rPr>
      </w:pPr>
    </w:p>
    <w:p>
      <w:pPr>
        <w:sectPr>
          <w:pgSz w:w="11900" w:h="16838" w:orient="portrait"/>
          <w:cols w:equalWidth="0" w:num="2">
            <w:col w:w="7700" w:space="720"/>
            <w:col w:w="2980"/>
          </w:cols>
          <w:pgMar w:left="240" w:top="476" w:right="25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(501) 850-0820</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1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43815</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type w:val="continuous"/>
        </w:sectPr>
      </w:pPr>
    </w:p>
    <w:bookmarkStart w:id="1" w:name="page2"/>
    <w:bookmarkEnd w:id="1"/>
    <w:p>
      <w:pPr>
        <w:ind w:right="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140" w:firstLine="782"/>
        <w:spacing w:after="0" w:line="273" w:lineRule="auto"/>
        <w:rPr>
          <w:sz w:val="20"/>
          <w:szCs w:val="20"/>
          <w:color w:val="auto"/>
        </w:rPr>
      </w:pPr>
      <w:r>
        <w:rPr>
          <w:rFonts w:ascii="Arial" w:cs="Arial" w:eastAsia="Arial" w:hAnsi="Arial"/>
          <w:sz w:val="17"/>
          <w:szCs w:val="17"/>
          <w:color w:val="auto"/>
        </w:rPr>
        <w:t>On February 6, 2018, the Compensation Committee (the “Committee”) of the Board of Directors of Uniti Group Inc. (the “Company”) approved the Uniti Group Inc. 2018 Short Term Incentive Plan (the “Plan”), which will be administered by the Committee. The Plan permits the Committee to award and pay performance-based cash bonuses to the Company’s President and Chief Executive Officer, Executive Vice President – Chief Financial Officer and Treasurer and Executive Vice President – General Counsel and Secretary (the “Eligible Executives”), upon the attainment of certain criteria set forth in the Plan. The Plan is designed to reward and motivate the Eligible Executives to achieve certain performance goals during 2018 and to promote the alignment of the Eligible Executives’ interests with those of the Company’s stockholders.</w:t>
      </w:r>
    </w:p>
    <w:p>
      <w:pPr>
        <w:spacing w:after="0" w:line="178" w:lineRule="exact"/>
        <w:rPr>
          <w:sz w:val="20"/>
          <w:szCs w:val="20"/>
          <w:color w:val="auto"/>
        </w:rPr>
      </w:pPr>
    </w:p>
    <w:p>
      <w:pPr>
        <w:ind w:right="240" w:firstLine="782"/>
        <w:spacing w:after="0" w:line="264" w:lineRule="auto"/>
        <w:rPr>
          <w:sz w:val="20"/>
          <w:szCs w:val="20"/>
          <w:color w:val="auto"/>
        </w:rPr>
      </w:pPr>
      <w:r>
        <w:rPr>
          <w:rFonts w:ascii="Arial" w:cs="Arial" w:eastAsia="Arial" w:hAnsi="Arial"/>
          <w:sz w:val="18"/>
          <w:szCs w:val="18"/>
          <w:color w:val="auto"/>
        </w:rPr>
        <w:t>In connection with adopting the Plan, the Committee approved award opportunities for each of the Eligible Executives for 2018. The Committee approved the following threshold (i.e., minimum), target and superior payout opportunities, expressed as a percentage of base salary, that the Eligible Executives are eligible to receive under the Plan: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8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92"/>
              </w:rPr>
              <w:t>2018 Short Term Incentive Plan</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0"/>
              </w:rPr>
              <w:t>Payout Opportunities</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60" w:type="dxa"/>
            <w:vAlign w:val="bottom"/>
            <w:vMerge w:val="restart"/>
          </w:tcPr>
          <w:p>
            <w:pPr>
              <w:spacing w:after="0"/>
              <w:rPr>
                <w:sz w:val="20"/>
                <w:szCs w:val="20"/>
                <w:color w:val="auto"/>
              </w:rPr>
            </w:pPr>
            <w:r>
              <w:rPr>
                <w:rFonts w:ascii="Arial" w:cs="Arial" w:eastAsia="Arial" w:hAnsi="Arial"/>
                <w:sz w:val="18"/>
                <w:szCs w:val="18"/>
                <w:b w:val="1"/>
                <w:bCs w:val="1"/>
                <w:color w:val="auto"/>
              </w:rPr>
              <w:t>Name</w:t>
            </w:r>
          </w:p>
        </w:tc>
        <w:tc>
          <w:tcPr>
            <w:tcW w:w="106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8"/>
                <w:szCs w:val="18"/>
                <w:b w:val="1"/>
                <w:bCs w:val="1"/>
                <w:color w:val="auto"/>
                <w:w w:val="87"/>
              </w:rPr>
              <w:t>(as a percentage of base salary)</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860" w:type="dxa"/>
            <w:vAlign w:val="bottom"/>
            <w:vMerge w:val="continue"/>
          </w:tcPr>
          <w:p>
            <w:pPr>
              <w:spacing w:after="0"/>
              <w:rPr>
                <w:sz w:val="18"/>
                <w:szCs w:val="18"/>
                <w:color w:val="auto"/>
              </w:rPr>
            </w:pPr>
          </w:p>
        </w:tc>
        <w:tc>
          <w:tcPr>
            <w:tcW w:w="1060" w:type="dxa"/>
            <w:vAlign w:val="bottom"/>
          </w:tcPr>
          <w:p>
            <w:pPr>
              <w:jc w:val="center"/>
              <w:ind w:left="190"/>
              <w:spacing w:after="0"/>
              <w:rPr>
                <w:sz w:val="20"/>
                <w:szCs w:val="20"/>
                <w:color w:val="auto"/>
              </w:rPr>
            </w:pPr>
            <w:r>
              <w:rPr>
                <w:rFonts w:ascii="Arial" w:cs="Arial" w:eastAsia="Arial" w:hAnsi="Arial"/>
                <w:sz w:val="18"/>
                <w:szCs w:val="18"/>
                <w:b w:val="1"/>
                <w:bCs w:val="1"/>
                <w:color w:val="auto"/>
                <w:w w:val="89"/>
              </w:rPr>
              <w:t>Threshold</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gridSpan w:val="3"/>
          </w:tcPr>
          <w:p>
            <w:pPr>
              <w:jc w:val="center"/>
              <w:ind w:right="580"/>
              <w:spacing w:after="0"/>
              <w:rPr>
                <w:sz w:val="20"/>
                <w:szCs w:val="20"/>
                <w:color w:val="auto"/>
              </w:rPr>
            </w:pPr>
            <w:r>
              <w:rPr>
                <w:rFonts w:ascii="Arial" w:cs="Arial" w:eastAsia="Arial" w:hAnsi="Arial"/>
                <w:sz w:val="18"/>
                <w:szCs w:val="18"/>
                <w:b w:val="1"/>
                <w:bCs w:val="1"/>
                <w:color w:val="auto"/>
                <w:w w:val="90"/>
              </w:rPr>
              <w:t>Target</w:t>
            </w:r>
          </w:p>
        </w:tc>
        <w:tc>
          <w:tcPr>
            <w:tcW w:w="104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Superior</w:t>
            </w:r>
          </w:p>
        </w:tc>
        <w:tc>
          <w:tcPr>
            <w:tcW w:w="0" w:type="dxa"/>
            <w:vAlign w:val="bottom"/>
          </w:tcPr>
          <w:p>
            <w:pPr>
              <w:spacing w:after="0"/>
              <w:rPr>
                <w:sz w:val="1"/>
                <w:szCs w:val="1"/>
                <w:color w:val="auto"/>
              </w:rPr>
            </w:pPr>
          </w:p>
        </w:tc>
      </w:tr>
      <w:tr>
        <w:trPr>
          <w:trHeight w:val="195"/>
        </w:trPr>
        <w:tc>
          <w:tcPr>
            <w:tcW w:w="686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Kenneth A. Gunderman</w:t>
            </w:r>
          </w:p>
        </w:tc>
        <w:tc>
          <w:tcPr>
            <w:tcW w:w="1060" w:type="dxa"/>
            <w:vAlign w:val="bottom"/>
            <w:tcBorders>
              <w:top w:val="single" w:sz="8" w:color="auto"/>
            </w:tcBorders>
            <w:shd w:val="clear" w:color="auto" w:fill="CCEEFF"/>
          </w:tcPr>
          <w:p>
            <w:pPr>
              <w:jc w:val="center"/>
              <w:ind w:left="190"/>
              <w:spacing w:after="0" w:line="195" w:lineRule="exact"/>
              <w:rPr>
                <w:sz w:val="20"/>
                <w:szCs w:val="20"/>
                <w:color w:val="auto"/>
              </w:rPr>
            </w:pPr>
            <w:r>
              <w:rPr>
                <w:rFonts w:ascii="Arial" w:cs="Arial" w:eastAsia="Arial" w:hAnsi="Arial"/>
                <w:sz w:val="18"/>
                <w:szCs w:val="18"/>
                <w:color w:val="auto"/>
                <w:w w:val="94"/>
              </w:rPr>
              <w:t>75%</w:t>
            </w:r>
          </w:p>
        </w:tc>
        <w:tc>
          <w:tcPr>
            <w:tcW w:w="2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150%</w:t>
            </w:r>
          </w:p>
        </w:tc>
        <w:tc>
          <w:tcPr>
            <w:tcW w:w="3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center"/>
              <w:ind w:right="210"/>
              <w:spacing w:after="0" w:line="195" w:lineRule="exact"/>
              <w:rPr>
                <w:sz w:val="20"/>
                <w:szCs w:val="20"/>
                <w:color w:val="auto"/>
              </w:rPr>
            </w:pPr>
            <w:r>
              <w:rPr>
                <w:rFonts w:ascii="Arial" w:cs="Arial" w:eastAsia="Arial" w:hAnsi="Arial"/>
                <w:sz w:val="18"/>
                <w:szCs w:val="18"/>
                <w:color w:val="auto"/>
                <w:w w:val="91"/>
              </w:rPr>
              <w:t>225%</w:t>
            </w: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President and Chief Executive Officer</w:t>
            </w:r>
          </w:p>
        </w:tc>
        <w:tc>
          <w:tcPr>
            <w:tcW w:w="10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860" w:type="dxa"/>
            <w:vAlign w:val="bottom"/>
          </w:tcPr>
          <w:p>
            <w:pPr>
              <w:spacing w:after="0" w:line="201" w:lineRule="exact"/>
              <w:rPr>
                <w:sz w:val="20"/>
                <w:szCs w:val="20"/>
                <w:color w:val="auto"/>
              </w:rPr>
            </w:pPr>
            <w:r>
              <w:rPr>
                <w:rFonts w:ascii="Arial" w:cs="Arial" w:eastAsia="Arial" w:hAnsi="Arial"/>
                <w:sz w:val="18"/>
                <w:szCs w:val="18"/>
                <w:color w:val="auto"/>
              </w:rPr>
              <w:t>Mark A. Wallace</w:t>
            </w:r>
          </w:p>
        </w:tc>
        <w:tc>
          <w:tcPr>
            <w:tcW w:w="1060" w:type="dxa"/>
            <w:vAlign w:val="bottom"/>
          </w:tcPr>
          <w:p>
            <w:pPr>
              <w:jc w:val="center"/>
              <w:ind w:left="190"/>
              <w:spacing w:after="0" w:line="201" w:lineRule="exact"/>
              <w:rPr>
                <w:sz w:val="20"/>
                <w:szCs w:val="20"/>
                <w:color w:val="auto"/>
              </w:rPr>
            </w:pPr>
            <w:r>
              <w:rPr>
                <w:rFonts w:ascii="Arial" w:cs="Arial" w:eastAsia="Arial" w:hAnsi="Arial"/>
                <w:sz w:val="18"/>
                <w:szCs w:val="18"/>
                <w:color w:val="auto"/>
                <w:w w:val="94"/>
              </w:rPr>
              <w:t>50%</w:t>
            </w:r>
          </w:p>
        </w:tc>
        <w:tc>
          <w:tcPr>
            <w:tcW w:w="1900" w:type="dxa"/>
            <w:vAlign w:val="bottom"/>
            <w:gridSpan w:val="3"/>
          </w:tcPr>
          <w:p>
            <w:pPr>
              <w:jc w:val="center"/>
              <w:ind w:left="510"/>
              <w:spacing w:after="0" w:line="201" w:lineRule="exact"/>
              <w:rPr>
                <w:sz w:val="20"/>
                <w:szCs w:val="20"/>
                <w:color w:val="auto"/>
              </w:rPr>
            </w:pPr>
            <w:r>
              <w:rPr>
                <w:rFonts w:ascii="Arial" w:cs="Arial" w:eastAsia="Arial" w:hAnsi="Arial"/>
                <w:sz w:val="18"/>
                <w:szCs w:val="18"/>
                <w:color w:val="auto"/>
                <w:w w:val="91"/>
              </w:rPr>
              <w:t>100%</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center"/>
              <w:ind w:right="210"/>
              <w:spacing w:after="0" w:line="201" w:lineRule="exact"/>
              <w:rPr>
                <w:sz w:val="20"/>
                <w:szCs w:val="20"/>
                <w:color w:val="auto"/>
              </w:rPr>
            </w:pPr>
            <w:r>
              <w:rPr>
                <w:rFonts w:ascii="Arial" w:cs="Arial" w:eastAsia="Arial" w:hAnsi="Arial"/>
                <w:sz w:val="18"/>
                <w:szCs w:val="18"/>
                <w:color w:val="auto"/>
                <w:w w:val="91"/>
              </w:rPr>
              <w:t>150%</w:t>
            </w: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Executive Vice President – Chief Financial Officer and Treasurer</w:t>
            </w: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Daniel L. Heard</w:t>
            </w:r>
          </w:p>
        </w:tc>
        <w:tc>
          <w:tcPr>
            <w:tcW w:w="1060" w:type="dxa"/>
            <w:vAlign w:val="bottom"/>
            <w:shd w:val="clear" w:color="auto" w:fill="CCEEFF"/>
          </w:tcPr>
          <w:p>
            <w:pPr>
              <w:jc w:val="center"/>
              <w:ind w:left="190"/>
              <w:spacing w:after="0" w:line="201" w:lineRule="exact"/>
              <w:rPr>
                <w:sz w:val="20"/>
                <w:szCs w:val="20"/>
                <w:color w:val="auto"/>
              </w:rPr>
            </w:pPr>
            <w:r>
              <w:rPr>
                <w:rFonts w:ascii="Arial" w:cs="Arial" w:eastAsia="Arial" w:hAnsi="Arial"/>
                <w:sz w:val="18"/>
                <w:szCs w:val="18"/>
                <w:color w:val="auto"/>
                <w:w w:val="94"/>
              </w:rPr>
              <w:t>50%</w:t>
            </w:r>
          </w:p>
        </w:tc>
        <w:tc>
          <w:tcPr>
            <w:tcW w:w="1900" w:type="dxa"/>
            <w:vAlign w:val="bottom"/>
            <w:gridSpan w:val="3"/>
            <w:shd w:val="clear" w:color="auto" w:fill="CCEEFF"/>
          </w:tcPr>
          <w:p>
            <w:pPr>
              <w:jc w:val="center"/>
              <w:ind w:left="510"/>
              <w:spacing w:after="0" w:line="201" w:lineRule="exact"/>
              <w:rPr>
                <w:sz w:val="20"/>
                <w:szCs w:val="20"/>
                <w:color w:val="auto"/>
              </w:rPr>
            </w:pPr>
            <w:r>
              <w:rPr>
                <w:rFonts w:ascii="Arial" w:cs="Arial" w:eastAsia="Arial" w:hAnsi="Arial"/>
                <w:sz w:val="18"/>
                <w:szCs w:val="18"/>
                <w:color w:val="auto"/>
                <w:w w:val="91"/>
              </w:rPr>
              <w:t>100%</w:t>
            </w: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center"/>
              <w:ind w:right="210"/>
              <w:spacing w:after="0" w:line="201" w:lineRule="exact"/>
              <w:rPr>
                <w:sz w:val="20"/>
                <w:szCs w:val="20"/>
                <w:color w:val="auto"/>
              </w:rPr>
            </w:pPr>
            <w:r>
              <w:rPr>
                <w:rFonts w:ascii="Arial" w:cs="Arial" w:eastAsia="Arial" w:hAnsi="Arial"/>
                <w:sz w:val="18"/>
                <w:szCs w:val="18"/>
                <w:color w:val="auto"/>
                <w:w w:val="91"/>
              </w:rPr>
              <w:t>150%</w:t>
            </w: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 General Counsel and Secretary</w:t>
            </w:r>
          </w:p>
        </w:tc>
        <w:tc>
          <w:tcPr>
            <w:tcW w:w="10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47"/>
        </w:trPr>
        <w:tc>
          <w:tcPr>
            <w:tcW w:w="68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3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spacing w:after="0"/>
        <w:tabs>
          <w:tab w:leader="none" w:pos="5180" w:val="left"/>
        </w:tabs>
        <w:rPr>
          <w:sz w:val="20"/>
          <w:szCs w:val="20"/>
          <w:color w:val="auto"/>
        </w:rPr>
      </w:pPr>
      <w:r>
        <w:rPr>
          <w:rFonts w:ascii="Arial" w:cs="Arial" w:eastAsia="Arial" w:hAnsi="Arial"/>
          <w:sz w:val="18"/>
          <w:szCs w:val="18"/>
          <w:color w:val="auto"/>
        </w:rPr>
        <w:t>Date: February 12, 2018</w:t>
      </w:r>
      <w:r>
        <w:rPr>
          <w:sz w:val="20"/>
          <w:szCs w:val="20"/>
          <w:color w:val="auto"/>
        </w:rPr>
        <w:tab/>
      </w:r>
      <w:r>
        <w:rPr>
          <w:rFonts w:ascii="Arial" w:cs="Arial" w:eastAsia="Arial" w:hAnsi="Arial"/>
          <w:sz w:val="17"/>
          <w:szCs w:val="17"/>
          <w:color w:val="auto"/>
        </w:rPr>
        <w:t>UNITI GROUP INC.</w:t>
      </w:r>
    </w:p>
    <w:p>
      <w:pPr>
        <w:spacing w:after="0" w:line="200" w:lineRule="exact"/>
        <w:rPr>
          <w:sz w:val="20"/>
          <w:szCs w:val="20"/>
          <w:color w:val="auto"/>
        </w:rPr>
      </w:pPr>
    </w:p>
    <w:p>
      <w:pPr>
        <w:spacing w:after="0" w:line="241" w:lineRule="exact"/>
        <w:rPr>
          <w:sz w:val="20"/>
          <w:szCs w:val="20"/>
          <w:color w:val="auto"/>
        </w:rPr>
      </w:pPr>
    </w:p>
    <w:tbl>
      <w:tblPr>
        <w:tblLayout w:type="fixed"/>
        <w:tblInd w:w="520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5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Daniel L. Heard</w:t>
            </w:r>
          </w:p>
        </w:tc>
      </w:tr>
      <w:tr>
        <w:trPr>
          <w:trHeight w:val="209"/>
        </w:trPr>
        <w:tc>
          <w:tcPr>
            <w:tcW w:w="54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4900" w:type="dxa"/>
            <w:vAlign w:val="bottom"/>
          </w:tcPr>
          <w:p>
            <w:pPr>
              <w:ind w:left="320"/>
              <w:spacing w:after="0"/>
              <w:rPr>
                <w:sz w:val="20"/>
                <w:szCs w:val="20"/>
                <w:color w:val="auto"/>
              </w:rPr>
            </w:pPr>
            <w:r>
              <w:rPr>
                <w:rFonts w:ascii="Arial" w:cs="Arial" w:eastAsia="Arial" w:hAnsi="Arial"/>
                <w:sz w:val="18"/>
                <w:szCs w:val="18"/>
                <w:color w:val="auto"/>
              </w:rPr>
              <w:t>Daniel L. Heard</w:t>
            </w:r>
          </w:p>
        </w:tc>
      </w:tr>
      <w:tr>
        <w:trPr>
          <w:trHeight w:val="230"/>
        </w:trPr>
        <w:tc>
          <w:tcPr>
            <w:tcW w:w="54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ind w:left="320"/>
              <w:spacing w:after="0"/>
              <w:rPr>
                <w:sz w:val="20"/>
                <w:szCs w:val="20"/>
                <w:color w:val="auto"/>
              </w:rPr>
            </w:pPr>
            <w:r>
              <w:rPr>
                <w:rFonts w:ascii="Arial" w:cs="Arial" w:eastAsia="Arial" w:hAnsi="Arial"/>
                <w:sz w:val="18"/>
                <w:szCs w:val="18"/>
                <w:color w:val="auto"/>
                <w:w w:val="96"/>
              </w:rPr>
              <w:t>Executive Vice President – General Counsel and Secretary</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2019-12-08T12:14:32Z</dcterms:created>
  <dcterms:modified xsi:type="dcterms:W3CDTF">2019-12-08T12:14:32Z</dcterms:modified>
</cp:coreProperties>
</file>