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-215265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32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96"/>
              </w:rPr>
              <w:t>Maryland</w:t>
            </w:r>
          </w:p>
        </w:tc>
        <w:tc>
          <w:tcPr>
            <w:tcW w:w="2280" w:type="dxa"/>
            <w:vAlign w:val="bottom"/>
            <w:tcBorders>
              <w:top w:val="single" w:sz="8" w:color="auto"/>
            </w:tcBorders>
          </w:tcPr>
          <w:p>
            <w:pPr>
              <w:spacing w:after="0"/>
              <w:rPr>
                <w:sz w:val="17"/>
                <w:szCs w:val="17"/>
                <w:color w:val="auto"/>
              </w:rPr>
            </w:pPr>
          </w:p>
        </w:tc>
        <w:tc>
          <w:tcPr>
            <w:tcW w:w="4000" w:type="dxa"/>
            <w:vAlign w:val="bottom"/>
          </w:tcPr>
          <w:p>
            <w:pPr>
              <w:jc w:val="right"/>
              <w:ind w:right="1778"/>
              <w:spacing w:after="0"/>
              <w:rPr>
                <w:sz w:val="20"/>
                <w:szCs w:val="20"/>
                <w:color w:val="auto"/>
              </w:rPr>
            </w:pPr>
            <w:r>
              <w:rPr>
                <w:rFonts w:ascii="Arial" w:cs="Arial" w:eastAsia="Arial" w:hAnsi="Arial"/>
                <w:sz w:val="18"/>
                <w:szCs w:val="18"/>
                <w:b w:val="1"/>
                <w:bCs w:val="1"/>
                <w:color w:val="auto"/>
              </w:rPr>
              <w:t>46-5230630</w:t>
            </w:r>
          </w:p>
        </w:tc>
      </w:tr>
      <w:tr>
        <w:trPr>
          <w:trHeight w:val="149"/>
        </w:trPr>
        <w:tc>
          <w:tcPr>
            <w:tcW w:w="308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spacing w:after="0"/>
              <w:rPr>
                <w:sz w:val="12"/>
                <w:szCs w:val="12"/>
                <w:color w:val="auto"/>
              </w:rPr>
            </w:pPr>
          </w:p>
        </w:tc>
        <w:tc>
          <w:tcPr>
            <w:tcW w:w="400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8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incorporation or organization)</w:t>
            </w:r>
          </w:p>
        </w:tc>
        <w:tc>
          <w:tcPr>
            <w:tcW w:w="2280" w:type="dxa"/>
            <w:vAlign w:val="bottom"/>
          </w:tcPr>
          <w:p>
            <w:pPr>
              <w:spacing w:after="0"/>
              <w:rPr>
                <w:sz w:val="16"/>
                <w:szCs w:val="16"/>
                <w:color w:val="auto"/>
              </w:rPr>
            </w:pPr>
          </w:p>
        </w:tc>
        <w:tc>
          <w:tcPr>
            <w:tcW w:w="400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8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10802 Executive Center Drive</w:t>
            </w:r>
          </w:p>
        </w:tc>
        <w:tc>
          <w:tcPr>
            <w:tcW w:w="2280" w:type="dxa"/>
            <w:vAlign w:val="bottom"/>
          </w:tcPr>
          <w:p>
            <w:pPr>
              <w:spacing w:after="0"/>
              <w:rPr>
                <w:sz w:val="22"/>
                <w:szCs w:val="22"/>
                <w:color w:val="auto"/>
              </w:rPr>
            </w:pPr>
          </w:p>
        </w:tc>
        <w:tc>
          <w:tcPr>
            <w:tcW w:w="4000" w:type="dxa"/>
            <w:vAlign w:val="bottom"/>
          </w:tcPr>
          <w:p>
            <w:pPr>
              <w:spacing w:after="0"/>
              <w:rPr>
                <w:sz w:val="22"/>
                <w:szCs w:val="22"/>
                <w:color w:val="auto"/>
              </w:rPr>
            </w:pPr>
          </w:p>
        </w:tc>
      </w:tr>
      <w:tr>
        <w:trPr>
          <w:trHeight w:val="216"/>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89"/>
              </w:rPr>
              <w:t>Benton Building Suite 300</w:t>
            </w:r>
          </w:p>
        </w:tc>
        <w:tc>
          <w:tcPr>
            <w:tcW w:w="22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2"/>
        </w:trPr>
        <w:tc>
          <w:tcPr>
            <w:tcW w:w="308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Little Rock, Arkansas</w:t>
            </w:r>
          </w:p>
        </w:tc>
        <w:tc>
          <w:tcPr>
            <w:tcW w:w="2280" w:type="dxa"/>
            <w:vAlign w:val="bottom"/>
          </w:tcPr>
          <w:p>
            <w:pPr>
              <w:spacing w:after="0"/>
              <w:rPr>
                <w:sz w:val="18"/>
                <w:szCs w:val="18"/>
                <w:color w:val="auto"/>
              </w:rPr>
            </w:pPr>
          </w:p>
        </w:tc>
        <w:tc>
          <w:tcPr>
            <w:tcW w:w="4000" w:type="dxa"/>
            <w:vAlign w:val="bottom"/>
          </w:tcPr>
          <w:p>
            <w:pPr>
              <w:jc w:val="right"/>
              <w:ind w:right="197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80" w:type="dxa"/>
            <w:vAlign w:val="bottom"/>
          </w:tcPr>
          <w:p>
            <w:pPr>
              <w:jc w:val="center"/>
              <w:ind w:right="2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400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360" w:type="dxa"/>
            <w:vAlign w:val="bottom"/>
            <w:gridSpan w:val="3"/>
          </w:tcPr>
          <w:p>
            <w:pPr>
              <w:jc w:val="center"/>
              <w:ind w:right="85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8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4000" w:type="dxa"/>
            <w:vAlign w:val="bottom"/>
          </w:tcPr>
          <w:p>
            <w:pPr>
              <w:spacing w:after="0"/>
              <w:rPr>
                <w:sz w:val="6"/>
                <w:szCs w:val="6"/>
                <w:color w:val="auto"/>
              </w:rPr>
            </w:pPr>
          </w:p>
        </w:tc>
      </w:tr>
      <w:tr>
        <w:trPr>
          <w:trHeight w:val="263"/>
        </w:trPr>
        <w:tc>
          <w:tcPr>
            <w:tcW w:w="9360" w:type="dxa"/>
            <w:vAlign w:val="bottom"/>
            <w:gridSpan w:val="3"/>
          </w:tcPr>
          <w:p>
            <w:pPr>
              <w:ind w:left="24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80" w:type="dxa"/>
            <w:vAlign w:val="bottom"/>
          </w:tcPr>
          <w:p>
            <w:pPr>
              <w:jc w:val="center"/>
              <w:ind w:right="1697"/>
              <w:spacing w:after="0"/>
              <w:rPr>
                <w:sz w:val="20"/>
                <w:szCs w:val="20"/>
                <w:color w:val="auto"/>
              </w:rPr>
            </w:pPr>
            <w:r>
              <w:rPr>
                <w:rFonts w:ascii="Arial" w:cs="Arial" w:eastAsia="Arial" w:hAnsi="Arial"/>
                <w:sz w:val="18"/>
                <w:szCs w:val="18"/>
                <w:color w:val="auto"/>
                <w:w w:val="90"/>
              </w:rPr>
              <w:t>Title of each class</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Pr>
          <w:p>
            <w:pPr>
              <w:jc w:val="center"/>
              <w:ind w:left="718"/>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3080" w:type="dxa"/>
            <w:vAlign w:val="bottom"/>
          </w:tcPr>
          <w:p>
            <w:pPr>
              <w:jc w:val="center"/>
              <w:ind w:right="1677"/>
              <w:spacing w:after="0"/>
              <w:rPr>
                <w:sz w:val="20"/>
                <w:szCs w:val="20"/>
                <w:color w:val="auto"/>
              </w:rPr>
            </w:pPr>
            <w:r>
              <w:rPr>
                <w:rFonts w:ascii="Arial" w:cs="Arial" w:eastAsia="Arial" w:hAnsi="Arial"/>
                <w:sz w:val="18"/>
                <w:szCs w:val="18"/>
                <w:color w:val="auto"/>
                <w:w w:val="90"/>
              </w:rPr>
              <w:t>Common Stock</w:t>
            </w:r>
          </w:p>
        </w:tc>
        <w:tc>
          <w:tcPr>
            <w:tcW w:w="2280" w:type="dxa"/>
            <w:vAlign w:val="bottom"/>
          </w:tcPr>
          <w:p>
            <w:pPr>
              <w:jc w:val="center"/>
              <w:spacing w:after="0"/>
              <w:rPr>
                <w:sz w:val="20"/>
                <w:szCs w:val="20"/>
                <w:color w:val="auto"/>
              </w:rPr>
            </w:pPr>
            <w:r>
              <w:rPr>
                <w:rFonts w:ascii="Arial" w:cs="Arial" w:eastAsia="Arial" w:hAnsi="Arial"/>
                <w:sz w:val="18"/>
                <w:szCs w:val="18"/>
                <w:color w:val="auto"/>
              </w:rPr>
              <w:t>UNIT</w:t>
            </w:r>
          </w:p>
        </w:tc>
        <w:tc>
          <w:tcPr>
            <w:tcW w:w="400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67" w:lineRule="exact"/>
        <w:rPr>
          <w:sz w:val="24"/>
          <w:szCs w:val="24"/>
          <w:color w:val="auto"/>
        </w:rPr>
      </w:pPr>
    </w:p>
    <w:p>
      <w:pPr>
        <w:ind w:right="16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4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320" w:firstLine="518"/>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1, 2019, the registrant had 193,275,587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185420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effect of Windstream Holdings, Inc.’s (“Windstream Holdings” and together with its subsidiaries, “Windstream”) bankruptcy and Windstream’s performance under its long-term exclusive triple-net lease with us (the “Master Lease”); our expectations with respect to the treatment of the Master Lease in Windstream’s petitions for relief under Chapter 11 of the Bankruptcy Code, including with respect to Windstream’s claims that the Master Lease should be recharacterized as a financing transaction, that the Master Lease is a lease of personal property and that rent payments and tenant capital improvements made by Windstream under the Master Lease constituted constructive fraudulent transfers; our expectations regarding the effect of substantial doubt about our ability to continue as a going concern; our expectations regarding the future growth and demand of the telecommunications industry, future financing plans, business strategies, growth prospects, operating and financial performance, and our future liquidity needs and access to capital; expectations regarding the impact and integration of Information Transport Solutions, Inc. (“ITS”) and M</w:t>
      </w:r>
      <w:r>
        <w:rPr>
          <w:rFonts w:ascii="Arial" w:cs="Arial" w:eastAsia="Arial" w:hAnsi="Arial"/>
          <w:sz w:val="13"/>
          <w:szCs w:val="13"/>
          <w:color w:val="auto"/>
        </w:rPr>
        <w:t>2</w:t>
      </w:r>
      <w:r>
        <w:rPr>
          <w:rFonts w:ascii="Arial" w:cs="Arial" w:eastAsia="Arial" w:hAnsi="Arial"/>
          <w:sz w:val="16"/>
          <w:szCs w:val="16"/>
          <w:color w:val="auto"/>
        </w:rPr>
        <w:t xml:space="preserve"> Connections, including expectations regarding operational synergies with Uniti Towers and Uniti Fiber;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the impact of the operating company-property company partnership with Macquarie Infrastructure Partners and related acquisition of Bluebird Network, LLC (“Bluebird”); our expectations regarding the wind down of the Consumer CLEC business; and expectations regarding the payment of dividends.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301" w:lineRule="exact"/>
        <w:rPr>
          <w:sz w:val="20"/>
          <w:szCs w:val="20"/>
          <w:color w:val="auto"/>
        </w:rPr>
      </w:pPr>
    </w:p>
    <w:p>
      <w:pPr>
        <w:ind w:left="1040" w:right="48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15" w:lineRule="exact"/>
        <w:rPr>
          <w:rFonts w:ascii="Arial" w:cs="Arial" w:eastAsia="Arial" w:hAnsi="Arial"/>
          <w:sz w:val="16"/>
          <w:szCs w:val="16"/>
          <w:color w:val="auto"/>
        </w:rPr>
      </w:pPr>
    </w:p>
    <w:p>
      <w:pPr>
        <w:ind w:left="1040" w:right="500" w:hanging="519"/>
        <w:spacing w:after="0" w:line="308"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continue as a going concern if Windstream Holdings were to succeed in its recharacterization and fraudulent transfer claims against us, reject the Master Lease or be unable or unwilling to perform its obligations under the Master Lease;</w:t>
      </w:r>
    </w:p>
    <w:p>
      <w:pPr>
        <w:spacing w:after="0" w:line="3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including as a result of the effects of the recent events with respect to our largest customer, Windstream Holdings;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040" w:hanging="519"/>
        <w:spacing w:after="0" w:line="31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2018, as well as those described from time to time in our future reports filed with the U.S. Securities and Exchange Commission (“SEC”).</w:t>
      </w:r>
    </w:p>
    <w:p>
      <w:pPr>
        <w:spacing w:after="0" w:line="10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0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0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1"/>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7540" w:type="dxa"/>
            <w:vAlign w:val="bottom"/>
            <w:gridSpan w:val="18"/>
            <w:vMerge w:val="restart"/>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9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11"/>
            <w:vMerge w:val="continue"/>
          </w:tcPr>
          <w:p>
            <w:pPr>
              <w:spacing w:after="0"/>
              <w:rPr>
                <w:sz w:val="15"/>
                <w:szCs w:val="15"/>
                <w:color w:val="auto"/>
              </w:rPr>
            </w:pPr>
          </w:p>
        </w:tc>
        <w:tc>
          <w:tcPr>
            <w:tcW w:w="7540" w:type="dxa"/>
            <w:vAlign w:val="bottom"/>
            <w:gridSpan w:val="18"/>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tcBorders>
              <w:top w:val="single" w:sz="8" w:color="0000EE"/>
            </w:tcBorders>
            <w:gridSpan w:val="12"/>
          </w:tcPr>
          <w:p>
            <w:pPr>
              <w:spacing w:after="0"/>
              <w:rPr>
                <w:sz w:val="20"/>
                <w:szCs w:val="20"/>
                <w:color w:val="auto"/>
              </w:rPr>
            </w:pPr>
            <w:r>
              <w:rPr>
                <w:rFonts w:ascii="Arial" w:cs="Arial" w:eastAsia="Arial" w:hAnsi="Arial"/>
                <w:sz w:val="18"/>
                <w:szCs w:val="18"/>
                <w:b w:val="1"/>
                <w:bCs w:val="1"/>
                <w:color w:val="auto"/>
              </w:rPr>
              <w:t>Uniti Group Inc.</w:t>
            </w:r>
          </w:p>
        </w:tc>
        <w:tc>
          <w:tcPr>
            <w:tcW w:w="7520" w:type="dxa"/>
            <w:vAlign w:val="bottom"/>
            <w:gridSpan w:val="17"/>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940" w:type="dxa"/>
            <w:vAlign w:val="bottom"/>
            <w:gridSpan w:val="29"/>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Income</w:t>
              </w:r>
            </w:hyperlink>
          </w:p>
        </w:tc>
        <w:tc>
          <w:tcPr>
            <w:tcW w:w="652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8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20" w:type="dxa"/>
            <w:vAlign w:val="bottom"/>
            <w:tcBorders>
              <w:top w:val="single" w:sz="8" w:color="0000EE"/>
            </w:tcBorders>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55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tcBorders>
              <w:top w:val="single" w:sz="8" w:color="0000EE"/>
            </w:tcBorders>
            <w:gridSpan w:val="20"/>
          </w:tcPr>
          <w:p>
            <w:pPr>
              <w:ind w:left="140"/>
              <w:spacing w:after="0"/>
              <w:rPr>
                <w:rFonts w:ascii="Arial" w:cs="Arial" w:eastAsia="Arial" w:hAnsi="Arial"/>
                <w:sz w:val="18"/>
                <w:szCs w:val="18"/>
                <w:color w:val="auto"/>
              </w:rPr>
            </w:pPr>
            <w:r>
              <w:rPr>
                <w:rFonts w:ascii="Arial" w:cs="Arial" w:eastAsia="Arial" w:hAnsi="Arial"/>
                <w:sz w:val="18"/>
                <w:szCs w:val="18"/>
                <w:color w:val="auto"/>
              </w:rPr>
              <w:t>1.</w:t>
            </w:r>
            <w:hyperlink w:anchor="page12">
              <w:r>
                <w:rPr>
                  <w:rFonts w:ascii="Arial" w:cs="Arial" w:eastAsia="Arial" w:hAnsi="Arial"/>
                  <w:sz w:val="18"/>
                  <w:szCs w:val="18"/>
                  <w:color w:val="0000EE"/>
                </w:rPr>
                <w:t>Organization and Description of Business</w:t>
              </w:r>
            </w:hyperlink>
          </w:p>
        </w:tc>
        <w:tc>
          <w:tcPr>
            <w:tcW w:w="594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2.</w:t>
            </w:r>
            <w:hyperlink w:anchor="page12">
              <w:r>
                <w:rPr>
                  <w:rFonts w:ascii="Arial" w:cs="Arial" w:eastAsia="Arial" w:hAnsi="Arial"/>
                  <w:sz w:val="18"/>
                  <w:szCs w:val="18"/>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3.</w:t>
            </w:r>
            <w:hyperlink w:anchor="page17">
              <w:r>
                <w:rPr>
                  <w:rFonts w:ascii="Arial" w:cs="Arial" w:eastAsia="Arial" w:hAnsi="Arial"/>
                  <w:sz w:val="18"/>
                  <w:szCs w:val="18"/>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4.</w:t>
            </w:r>
            <w:hyperlink w:anchor="page19">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5.</w:t>
            </w:r>
            <w:hyperlink w:anchor="page23">
              <w:r>
                <w:rPr>
                  <w:rFonts w:ascii="Arial" w:cs="Arial" w:eastAsia="Arial" w:hAnsi="Arial"/>
                  <w:sz w:val="18"/>
                  <w:szCs w:val="18"/>
                  <w:color w:val="0000EE"/>
                </w:rPr>
                <w:t>Business Combinations, Asset Acquisitions and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6.</w:t>
            </w:r>
            <w:hyperlink w:anchor="page24">
              <w:r>
                <w:rPr>
                  <w:rFonts w:ascii="Arial" w:cs="Arial" w:eastAsia="Arial" w:hAnsi="Arial"/>
                  <w:sz w:val="18"/>
                  <w:szCs w:val="18"/>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7.</w:t>
            </w:r>
            <w:hyperlink w:anchor="page27">
              <w:r>
                <w:rPr>
                  <w:rFonts w:ascii="Arial" w:cs="Arial" w:eastAsia="Arial" w:hAnsi="Arial"/>
                  <w:sz w:val="18"/>
                  <w:szCs w:val="18"/>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8.</w:t>
            </w:r>
            <w:hyperlink w:anchor="page27">
              <w:r>
                <w:rPr>
                  <w:rFonts w:ascii="Arial" w:cs="Arial" w:eastAsia="Arial" w:hAnsi="Arial"/>
                  <w:sz w:val="18"/>
                  <w:szCs w:val="18"/>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9.</w:t>
            </w:r>
            <w:hyperlink w:anchor="page29">
              <w:r>
                <w:rPr>
                  <w:rFonts w:ascii="Arial" w:cs="Arial" w:eastAsia="Arial" w:hAnsi="Arial"/>
                  <w:sz w:val="18"/>
                  <w:szCs w:val="18"/>
                  <w:color w:val="0000EE"/>
                </w:rPr>
                <w:t>Goodwill and Intangible Assets and Liabilities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10.</w:t>
            </w:r>
            <w:hyperlink w:anchor="page30">
              <w:r>
                <w:rPr>
                  <w:rFonts w:ascii="Arial" w:cs="Arial" w:eastAsia="Arial" w:hAnsi="Arial"/>
                  <w:sz w:val="18"/>
                  <w:szCs w:val="18"/>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11.</w:t>
            </w:r>
            <w:hyperlink w:anchor="page33">
              <w:r>
                <w:rPr>
                  <w:rFonts w:ascii="Arial" w:cs="Arial" w:eastAsia="Arial" w:hAnsi="Arial"/>
                  <w:sz w:val="18"/>
                  <w:szCs w:val="18"/>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12.</w:t>
            </w:r>
            <w:hyperlink w:anchor="page35">
              <w:r>
                <w:rPr>
                  <w:rFonts w:ascii="Arial" w:cs="Arial" w:eastAsia="Arial" w:hAnsi="Arial"/>
                  <w:sz w:val="18"/>
                  <w:szCs w:val="18"/>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13.</w:t>
            </w:r>
            <w:hyperlink w:anchor="page38">
              <w:r>
                <w:rPr>
                  <w:rFonts w:ascii="Arial" w:cs="Arial" w:eastAsia="Arial" w:hAnsi="Arial"/>
                  <w:sz w:val="18"/>
                  <w:szCs w:val="18"/>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14.</w:t>
            </w:r>
            <w:hyperlink w:anchor="page39">
              <w:r>
                <w:rPr>
                  <w:rFonts w:ascii="Arial" w:cs="Arial" w:eastAsia="Arial" w:hAnsi="Arial"/>
                  <w:sz w:val="18"/>
                  <w:szCs w:val="18"/>
                  <w:color w:val="0000EE"/>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00" w:type="dxa"/>
            <w:vAlign w:val="bottom"/>
            <w:gridSpan w:val="11"/>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40" w:type="dxa"/>
            <w:vAlign w:val="bottom"/>
            <w:gridSpan w:val="29"/>
          </w:tcPr>
          <w:p>
            <w:pPr>
              <w:ind w:left="140"/>
              <w:spacing w:after="0"/>
              <w:rPr>
                <w:rFonts w:ascii="Arial" w:cs="Arial" w:eastAsia="Arial" w:hAnsi="Arial"/>
                <w:sz w:val="18"/>
                <w:szCs w:val="18"/>
                <w:color w:val="auto"/>
              </w:rPr>
            </w:pPr>
            <w:r>
              <w:rPr>
                <w:rFonts w:ascii="Arial" w:cs="Arial" w:eastAsia="Arial" w:hAnsi="Arial"/>
                <w:sz w:val="18"/>
                <w:szCs w:val="18"/>
                <w:color w:val="auto"/>
              </w:rPr>
              <w:t>15.</w:t>
            </w:r>
            <w:hyperlink w:anchor="page40">
              <w:r>
                <w:rPr>
                  <w:rFonts w:ascii="Arial" w:cs="Arial" w:eastAsia="Arial" w:hAnsi="Arial"/>
                  <w:sz w:val="18"/>
                  <w:szCs w:val="18"/>
                  <w:color w:val="0000EE"/>
                </w:rPr>
                <w:t>Capital Stock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4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5"/>
          </w:tcPr>
          <w:p>
            <w:pPr>
              <w:spacing w:after="0"/>
              <w:rPr>
                <w:sz w:val="18"/>
                <w:szCs w:val="18"/>
                <w:color w:val="auto"/>
              </w:rPr>
            </w:pPr>
          </w:p>
        </w:tc>
        <w:tc>
          <w:tcPr>
            <w:tcW w:w="3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816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940" w:type="dxa"/>
            <w:vAlign w:val="bottom"/>
            <w:gridSpan w:val="29"/>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792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Risk Factors</w:t>
              </w:r>
            </w:hyperlink>
          </w:p>
        </w:tc>
        <w:tc>
          <w:tcPr>
            <w:tcW w:w="360" w:type="dxa"/>
            <w:vAlign w:val="bottom"/>
            <w:tcBorders>
              <w:top w:val="single" w:sz="8" w:color="0000EE"/>
            </w:tcBorders>
          </w:tcPr>
          <w:p>
            <w:pPr>
              <w:spacing w:after="0"/>
              <w:rPr>
                <w:sz w:val="18"/>
                <w:szCs w:val="18"/>
                <w:color w:val="auto"/>
              </w:rPr>
            </w:pPr>
          </w:p>
        </w:tc>
        <w:tc>
          <w:tcPr>
            <w:tcW w:w="860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Unregistered Sales of Equity Securities and Use of Proceeds</w:t>
              </w:r>
            </w:hyperlink>
          </w:p>
        </w:tc>
        <w:tc>
          <w:tcPr>
            <w:tcW w:w="5580" w:type="dxa"/>
            <w:vAlign w:val="bottom"/>
            <w:gridSpan w:val="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Defaults Upon Senior Securities</w:t>
              </w:r>
            </w:hyperlink>
          </w:p>
        </w:tc>
        <w:tc>
          <w:tcPr>
            <w:tcW w:w="760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Mine Safety Disclosures</w:t>
              </w:r>
            </w:hyperlink>
          </w:p>
        </w:tc>
        <w:tc>
          <w:tcPr>
            <w:tcW w:w="8160" w:type="dxa"/>
            <w:vAlign w:val="bottom"/>
            <w:gridSpan w:val="2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940" w:type="dxa"/>
            <w:vAlign w:val="bottom"/>
            <w:gridSpan w:val="2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40" w:type="dxa"/>
            <w:vAlign w:val="bottom"/>
            <w:tcBorders>
              <w:top w:val="single" w:sz="8" w:color="0000EE"/>
            </w:tcBorders>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w:t>
              </w:r>
            </w:hyperlink>
          </w:p>
        </w:tc>
        <w:tc>
          <w:tcPr>
            <w:tcW w:w="8600" w:type="dxa"/>
            <w:vAlign w:val="bottom"/>
            <w:gridSpan w:val="2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rPr>
              <w:t>PART I—FINANCIAL INFORMATION</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580" w:type="dxa"/>
            <w:vAlign w:val="bottom"/>
            <w:gridSpan w:val="2"/>
          </w:tcPr>
          <w:p>
            <w:pPr>
              <w:jc w:val="center"/>
              <w:ind w:left="3210"/>
              <w:spacing w:after="0"/>
              <w:rPr>
                <w:sz w:val="20"/>
                <w:szCs w:val="20"/>
                <w:color w:val="auto"/>
              </w:rPr>
            </w:pPr>
            <w:r>
              <w:rPr>
                <w:rFonts w:ascii="Arial" w:cs="Arial" w:eastAsia="Arial" w:hAnsi="Arial"/>
                <w:sz w:val="18"/>
                <w:szCs w:val="18"/>
                <w:b w:val="1"/>
                <w:bCs w:val="1"/>
                <w:color w:val="auto"/>
                <w:w w:val="94"/>
              </w:rPr>
              <w:t>Uniti Group Inc.</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8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7"/>
              </w:rPr>
              <w:t>(Unaudited)</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spacing w:after="0"/>
              <w:rPr>
                <w:sz w:val="20"/>
                <w:szCs w:val="20"/>
                <w:color w:val="auto"/>
              </w:rPr>
            </w:pPr>
            <w:r>
              <w:rPr>
                <w:rFonts w:ascii="Arial" w:cs="Arial" w:eastAsia="Arial" w:hAnsi="Arial"/>
                <w:sz w:val="18"/>
                <w:szCs w:val="18"/>
                <w:color w:val="auto"/>
              </w:rPr>
              <w:t>(Thousands, except par value)</w:t>
            </w:r>
          </w:p>
        </w:tc>
        <w:tc>
          <w:tcPr>
            <w:tcW w:w="23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2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tcPr>
          <w:p>
            <w:pPr>
              <w:jc w:val="right"/>
              <w:ind w:right="342"/>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3,371,151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3,209,006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197,317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86,939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104,063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Intangible assets, net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536,654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432,821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Straight-line revenue receivable</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Derivative asset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assets, net</w:t>
            </w:r>
          </w:p>
        </w:tc>
        <w:tc>
          <w:tcPr>
            <w:tcW w:w="5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147,880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auto"/>
            </w:tcBorders>
          </w:tcPr>
          <w:p>
            <w:pPr>
              <w:jc w:val="right"/>
              <w:ind w:right="3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5,031,225</w:t>
            </w:r>
          </w:p>
        </w:tc>
        <w:tc>
          <w:tcPr>
            <w:tcW w:w="26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4,592,937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8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Shareholders' Deficit:</w:t>
            </w:r>
          </w:p>
        </w:tc>
        <w:tc>
          <w:tcPr>
            <w:tcW w:w="500" w:type="dxa"/>
            <w:vAlign w:val="bottom"/>
            <w:tcBorders>
              <w:top w:val="single" w:sz="8" w:color="auto"/>
            </w:tcBorders>
            <w:shd w:val="clear" w:color="auto" w:fill="CFF0FC"/>
          </w:tcPr>
          <w:p>
            <w:pPr>
              <w:spacing w:after="0"/>
              <w:rPr>
                <w:sz w:val="24"/>
                <w:szCs w:val="24"/>
                <w:color w:val="auto"/>
              </w:rPr>
            </w:pPr>
          </w:p>
        </w:tc>
        <w:tc>
          <w:tcPr>
            <w:tcW w:w="1580" w:type="dxa"/>
            <w:vAlign w:val="bottom"/>
            <w:tcBorders>
              <w:top w:val="single" w:sz="8" w:color="auto"/>
            </w:tcBorders>
            <w:shd w:val="clear" w:color="auto" w:fill="CFF0FC"/>
          </w:tcPr>
          <w:p>
            <w:pPr>
              <w:spacing w:after="0"/>
              <w:rPr>
                <w:sz w:val="24"/>
                <w:szCs w:val="24"/>
                <w:color w:val="auto"/>
              </w:rPr>
            </w:pPr>
          </w:p>
        </w:tc>
        <w:tc>
          <w:tcPr>
            <w:tcW w:w="260" w:type="dxa"/>
            <w:vAlign w:val="bottom"/>
            <w:tcBorders>
              <w:top w:val="single" w:sz="8" w:color="CFF0FC"/>
            </w:tcBorders>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900" w:type="dxa"/>
            <w:vAlign w:val="bottom"/>
            <w:tcBorders>
              <w:top w:val="single" w:sz="8" w:color="auto"/>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Accounts payable, accrued expenses and other liabilities, net</w:t>
            </w:r>
          </w:p>
        </w:tc>
        <w:tc>
          <w:tcPr>
            <w:tcW w:w="500" w:type="dxa"/>
            <w:vAlign w:val="bottom"/>
            <w:shd w:val="clear" w:color="auto" w:fill="CFF0FC"/>
          </w:tcPr>
          <w:p>
            <w:pPr>
              <w:jc w:val="right"/>
              <w:ind w:right="342"/>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73,638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1,040,288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Derivative liability</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27,761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Dividends payable</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31,118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Finance lease obligations</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Contingent consideration</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83,401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Notes and other debt, net</w:t>
            </w:r>
          </w:p>
        </w:tc>
        <w:tc>
          <w:tcPr>
            <w:tcW w:w="5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5,010,287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4,846,233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6,468,064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5,999,632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Commitments and contingencies (Note 13)</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w w:val="93"/>
              </w:rPr>
              <w:t>Convertible preferred stock</w:t>
            </w:r>
            <w:r>
              <w:rPr>
                <w:rFonts w:ascii="Arial" w:cs="Arial" w:eastAsia="Arial" w:hAnsi="Arial"/>
                <w:sz w:val="18"/>
                <w:szCs w:val="18"/>
                <w:color w:val="auto"/>
                <w:w w:val="93"/>
              </w:rPr>
              <w:t>, Series A</w:t>
            </w:r>
            <w:r>
              <w:rPr>
                <w:rFonts w:ascii="Arial" w:cs="Arial" w:eastAsia="Arial" w:hAnsi="Arial"/>
                <w:sz w:val="18"/>
                <w:szCs w:val="18"/>
                <w:b w:val="1"/>
                <w:bCs w:val="1"/>
                <w:color w:val="auto"/>
                <w:w w:val="93"/>
              </w:rPr>
              <w:t>, $0.0001 par value, 88 shares authorized, issued</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w w:val="91"/>
              </w:rPr>
              <w:t>and outstanding: no shares at September 30, 2019 and 88 shares at December 31, 2018,</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$87,500 liquidation value</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86,508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Shareholders' Deficit:</w:t>
            </w: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w w:val="98"/>
              </w:rPr>
              <w:t>Preferred stock, $0.0001 par value, 50,000 shares authorized, no shares issued and</w:t>
            </w:r>
          </w:p>
        </w:tc>
        <w:tc>
          <w:tcPr>
            <w:tcW w:w="5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outstanding</w:t>
            </w:r>
          </w:p>
        </w:tc>
        <w:tc>
          <w:tcPr>
            <w:tcW w:w="50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w w:val="94"/>
              </w:rPr>
              <w:t>Common stock, $0.0001 par value, 500,000 shares authorized, issued and outstanding:</w:t>
            </w: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192,138 shares at September 30, 2019 and 180,536 at December 31, 2018</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948,382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(loss) income</w:t>
            </w:r>
          </w:p>
        </w:tc>
        <w:tc>
          <w:tcPr>
            <w:tcW w:w="50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(27,452)</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Distributions in excess of accumulated earnings</w:t>
            </w:r>
          </w:p>
        </w:tc>
        <w:tc>
          <w:tcPr>
            <w:tcW w:w="5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(2,442,378)</w:t>
            </w:r>
          </w:p>
        </w:tc>
        <w:tc>
          <w:tcPr>
            <w:tcW w:w="2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(2,373,218)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ind w:left="240"/>
              <w:spacing w:after="0"/>
              <w:rPr>
                <w:sz w:val="20"/>
                <w:szCs w:val="20"/>
                <w:color w:val="auto"/>
              </w:rPr>
            </w:pPr>
            <w:r>
              <w:rPr>
                <w:rFonts w:ascii="Arial" w:cs="Arial" w:eastAsia="Arial" w:hAnsi="Arial"/>
                <w:sz w:val="18"/>
                <w:szCs w:val="18"/>
                <w:color w:val="auto"/>
              </w:rPr>
              <w:t>Total Uniti shareholders' deficit</w:t>
            </w:r>
          </w:p>
        </w:tc>
        <w:tc>
          <w:tcPr>
            <w:tcW w:w="5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(1,521,429)</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Noncontrolling interests - operating partnership units</w:t>
            </w:r>
          </w:p>
        </w:tc>
        <w:tc>
          <w:tcPr>
            <w:tcW w:w="5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84,590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tcPr>
          <w:p>
            <w:pPr>
              <w:ind w:left="500"/>
              <w:spacing w:after="0"/>
              <w:rPr>
                <w:sz w:val="20"/>
                <w:szCs w:val="20"/>
                <w:color w:val="auto"/>
              </w:rPr>
            </w:pPr>
            <w:r>
              <w:rPr>
                <w:rFonts w:ascii="Arial" w:cs="Arial" w:eastAsia="Arial" w:hAnsi="Arial"/>
                <w:sz w:val="18"/>
                <w:szCs w:val="18"/>
                <w:color w:val="auto"/>
              </w:rPr>
              <w:t>Total shareholders' deficit</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(1,436,839)</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Convertible Preferred Stock, and Shareholders' Deficit</w:t>
            </w:r>
          </w:p>
        </w:tc>
        <w:tc>
          <w:tcPr>
            <w:tcW w:w="50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5,031,225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4,592,937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4"/>
                <w:szCs w:val="14"/>
                <w:color w:val="auto"/>
              </w:rPr>
              <w:t>(Thousands, except per share data)</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Leasing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179,648</w:t>
            </w:r>
          </w:p>
        </w:tc>
        <w:tc>
          <w:tcPr>
            <w:tcW w:w="24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174,822</w:t>
            </w:r>
          </w:p>
        </w:tc>
        <w:tc>
          <w:tcPr>
            <w:tcW w:w="14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532,773</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Fiber Infrastructure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Tower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11,499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CLEC</w:t>
            </w: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263,629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252,636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789,074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286,842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237,398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307,571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3"/>
              </w:rPr>
              <w:t>Operating expense (exclusive of depreciation and amortization)</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Transaction related and other costs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28,883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Gain on sale of real estate (Note 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(28,995)</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(32,091)</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285,151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249,878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756,660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(21,522)</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(1,745)</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2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Participating securities' share in earnings</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 on convertible preferred stock</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Amortization of discount on convertible preferred stock</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Earnings (loss) per common share:</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23"/>
                <w:szCs w:val="23"/>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8"/>
              </w:rPr>
              <w:t>Weighted-average number of common shares outstanding:</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191,940</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175,396</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185,746</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191,940</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175,653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185,746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9"/>
              </w:rPr>
              <w:t>Three Months Ended September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9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(19,777)</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Unrealized (loss) gain on derivative contracts</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(8,646)</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(58,695)</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57,617</w:t>
            </w:r>
          </w:p>
        </w:tc>
        <w:tc>
          <w:tcPr>
            <w:tcW w:w="120" w:type="dxa"/>
            <w:vAlign w:val="bottom"/>
            <w:shd w:val="clear" w:color="auto" w:fill="CFF0FC"/>
          </w:tcPr>
          <w:p>
            <w:pPr>
              <w:spacing w:after="0"/>
              <w:rPr>
                <w:sz w:val="19"/>
                <w:szCs w:val="19"/>
                <w:color w:val="auto"/>
              </w:rPr>
            </w:pPr>
          </w:p>
        </w:tc>
      </w:tr>
      <w:tr>
        <w:trPr>
          <w:trHeight w:val="230"/>
        </w:trPr>
        <w:tc>
          <w:tcPr>
            <w:tcW w:w="4920" w:type="dxa"/>
            <w:vAlign w:val="bottom"/>
            <w:gridSpan w:val="2"/>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(8,646)</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(58,758)</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61,712</w:t>
            </w:r>
          </w:p>
        </w:tc>
        <w:tc>
          <w:tcPr>
            <w:tcW w:w="120" w:type="dxa"/>
            <w:vAlign w:val="bottom"/>
          </w:tcPr>
          <w:p>
            <w:pPr>
              <w:spacing w:after="0"/>
              <w:rPr>
                <w:sz w:val="19"/>
                <w:szCs w:val="19"/>
                <w:color w:val="auto"/>
              </w:rPr>
            </w:pPr>
          </w:p>
        </w:tc>
      </w:tr>
      <w:tr>
        <w:trPr>
          <w:trHeight w:val="215"/>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(loss) income attributable to noncontrolling</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(678)</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FF0FC"/>
          </w:tcPr>
          <w:p>
            <w:pPr>
              <w:spacing w:after="0"/>
              <w:rPr>
                <w:sz w:val="20"/>
                <w:szCs w:val="20"/>
                <w:color w:val="auto"/>
              </w:rPr>
            </w:pPr>
          </w:p>
        </w:tc>
      </w:tr>
      <w:tr>
        <w:trPr>
          <w:trHeight w:val="205"/>
        </w:trPr>
        <w:tc>
          <w:tcPr>
            <w:tcW w:w="49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Comprehensive (loss) income attributable to common</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shareholders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(27,912)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14,185</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(35,818)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60,308</w:t>
            </w:r>
          </w:p>
        </w:tc>
        <w:tc>
          <w:tcPr>
            <w:tcW w:w="12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2"/>
          </w:tcPr>
          <w:p>
            <w:pPr>
              <w:jc w:val="right"/>
              <w:ind w:right="780"/>
              <w:spacing w:after="0"/>
              <w:rPr>
                <w:sz w:val="20"/>
                <w:szCs w:val="20"/>
                <w:color w:val="auto"/>
              </w:rPr>
            </w:pPr>
            <w:r>
              <w:rPr>
                <w:rFonts w:ascii="Arial" w:cs="Arial" w:eastAsia="Arial" w:hAnsi="Arial"/>
                <w:sz w:val="16"/>
                <w:szCs w:val="16"/>
                <w:b w:val="1"/>
                <w:bCs w:val="1"/>
                <w:color w:val="auto"/>
                <w:w w:val="89"/>
              </w:rPr>
              <w:t>For the three months ended September 30,</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6"/>
                <w:szCs w:val="16"/>
                <w:color w:val="auto"/>
                <w:w w:val="92"/>
              </w:rPr>
              <w:t>Accumulated</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7"/>
              </w:rPr>
              <w:t>Distributions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color w:val="auto"/>
                <w:w w:val="89"/>
              </w:rPr>
              <w:t>Other</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in Excess of</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r>
      <w:tr>
        <w:trPr>
          <w:trHeight w:val="203"/>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6"/>
              </w:rPr>
              <w:t>Paid-in</w:t>
            </w:r>
          </w:p>
        </w:tc>
        <w:tc>
          <w:tcPr>
            <w:tcW w:w="1300" w:type="dxa"/>
            <w:vAlign w:val="bottom"/>
            <w:gridSpan w:val="4"/>
          </w:tcPr>
          <w:p>
            <w:pPr>
              <w:ind w:left="80"/>
              <w:spacing w:after="0"/>
              <w:rPr>
                <w:sz w:val="20"/>
                <w:szCs w:val="20"/>
                <w:color w:val="auto"/>
              </w:rPr>
            </w:pPr>
            <w:r>
              <w:rPr>
                <w:rFonts w:ascii="Arial" w:cs="Arial" w:eastAsia="Arial" w:hAnsi="Arial"/>
                <w:sz w:val="16"/>
                <w:szCs w:val="16"/>
                <w:color w:val="auto"/>
              </w:rPr>
              <w:t>Comprehensive</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0" w:type="dxa"/>
            <w:vAlign w:val="bottom"/>
            <w:gridSpan w:val="3"/>
          </w:tcPr>
          <w:p>
            <w:pPr>
              <w:spacing w:after="0"/>
              <w:rPr>
                <w:sz w:val="20"/>
                <w:szCs w:val="20"/>
                <w:color w:val="auto"/>
              </w:rPr>
            </w:pPr>
            <w:r>
              <w:rPr>
                <w:rFonts w:ascii="Arial" w:cs="Arial" w:eastAsia="Arial" w:hAnsi="Arial"/>
                <w:sz w:val="16"/>
                <w:szCs w:val="16"/>
                <w:color w:val="auto"/>
              </w:rPr>
              <w:t>Noncontrolling</w:t>
            </w:r>
          </w:p>
        </w:tc>
        <w:tc>
          <w:tcPr>
            <w:tcW w:w="980" w:type="dxa"/>
            <w:vAlign w:val="bottom"/>
            <w:gridSpan w:val="3"/>
          </w:tcPr>
          <w:p>
            <w:pPr>
              <w:spacing w:after="0"/>
              <w:rPr>
                <w:sz w:val="20"/>
                <w:szCs w:val="20"/>
                <w:color w:val="auto"/>
              </w:rPr>
            </w:pPr>
            <w:r>
              <w:rPr>
                <w:rFonts w:ascii="Arial" w:cs="Arial" w:eastAsia="Arial" w:hAnsi="Arial"/>
                <w:sz w:val="16"/>
                <w:szCs w:val="16"/>
                <w:color w:val="auto"/>
                <w:w w:val="97"/>
              </w:rPr>
              <w:t>Shareholders'</w:t>
            </w:r>
          </w:p>
        </w:tc>
      </w:tr>
      <w:tr>
        <w:trPr>
          <w:trHeight w:val="212"/>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share data)</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w w:val="93"/>
              </w:rPr>
              <w:t>Preferred Stock</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color w:val="auto"/>
                <w:w w:val="91"/>
              </w:rPr>
              <w:t>Common Stock</w:t>
            </w: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1"/>
              </w:rPr>
              <w:t>Income</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100" w:type="dxa"/>
            <w:vAlign w:val="bottom"/>
          </w:tcPr>
          <w:p>
            <w:pPr>
              <w:spacing w:after="0"/>
              <w:rPr>
                <w:sz w:val="18"/>
                <w:szCs w:val="18"/>
                <w:color w:val="auto"/>
              </w:rPr>
            </w:pPr>
          </w:p>
        </w:tc>
      </w:tr>
      <w:tr>
        <w:trPr>
          <w:trHeight w:val="183"/>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3"/>
          </w:tcPr>
          <w:p>
            <w:pPr>
              <w:spacing w:after="0" w:line="183" w:lineRule="exact"/>
              <w:rPr>
                <w:sz w:val="20"/>
                <w:szCs w:val="20"/>
                <w:color w:val="auto"/>
              </w:rPr>
            </w:pPr>
            <w:r>
              <w:rPr>
                <w:rFonts w:ascii="Arial" w:cs="Arial" w:eastAsia="Arial" w:hAnsi="Arial"/>
                <w:sz w:val="16"/>
                <w:szCs w:val="16"/>
                <w:color w:val="auto"/>
              </w:rPr>
              <w:t>Shares</w:t>
            </w:r>
          </w:p>
        </w:tc>
        <w:tc>
          <w:tcPr>
            <w:tcW w:w="74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5"/>
                <w:szCs w:val="15"/>
                <w:color w:val="auto"/>
              </w:rPr>
            </w:pPr>
          </w:p>
        </w:tc>
        <w:tc>
          <w:tcPr>
            <w:tcW w:w="6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w w:val="82"/>
              </w:rPr>
              <w:t>Shares</w:t>
            </w:r>
          </w:p>
        </w:tc>
        <w:tc>
          <w:tcPr>
            <w:tcW w:w="200" w:type="dxa"/>
            <w:vAlign w:val="bottom"/>
          </w:tcPr>
          <w:p>
            <w:pPr>
              <w:spacing w:after="0"/>
              <w:rPr>
                <w:sz w:val="15"/>
                <w:szCs w:val="15"/>
                <w:color w:val="auto"/>
              </w:rPr>
            </w:pPr>
          </w:p>
        </w:tc>
        <w:tc>
          <w:tcPr>
            <w:tcW w:w="76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2018</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175,028,835</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645,627</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56,237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4"/>
              </w:rPr>
              <w:t>$ (2,174,216)</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(1,374,812)</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Net income</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4,224</w:t>
            </w:r>
          </w:p>
        </w:tc>
        <w:tc>
          <w:tcPr>
            <w:tcW w:w="100" w:type="dxa"/>
            <w:vAlign w:val="bottom"/>
          </w:tcPr>
          <w:p>
            <w:pPr>
              <w:spacing w:after="0"/>
              <w:rPr>
                <w:sz w:val="19"/>
                <w:szCs w:val="19"/>
                <w:color w:val="auto"/>
              </w:rPr>
            </w:pP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At-the-market issuance of common</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stock, net of offering costs</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3,180,548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64,423</w:t>
            </w:r>
          </w:p>
        </w:tc>
        <w:tc>
          <w:tcPr>
            <w:tcW w:w="100" w:type="dxa"/>
            <w:vAlign w:val="bottom"/>
            <w:shd w:val="clear" w:color="auto" w:fill="CFF0FC"/>
          </w:tcPr>
          <w:p>
            <w:pPr>
              <w:spacing w:after="0"/>
              <w:rPr>
                <w:sz w:val="18"/>
                <w:szCs w:val="18"/>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Amortization of discount of</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convertible preferred stock</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(745)</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10,054</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10,291</w:t>
            </w:r>
          </w:p>
        </w:tc>
        <w:tc>
          <w:tcPr>
            <w:tcW w:w="100" w:type="dxa"/>
            <w:vAlign w:val="bottom"/>
            <w:shd w:val="clear" w:color="auto" w:fill="CFF0FC"/>
          </w:tcPr>
          <w:p>
            <w:pPr>
              <w:spacing w:after="0"/>
              <w:rPr>
                <w:sz w:val="20"/>
                <w:szCs w:val="20"/>
                <w:color w:val="auto"/>
              </w:rPr>
            </w:pP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Common stock dividends declared</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(107,379)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(107,379)</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5"/>
              </w:rPr>
              <w:t>Distributions to noncontrolling interest</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(2,480)</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w w:val="96"/>
              </w:rPr>
              <w:t>Convertible preferred stock dividends</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(656)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(656)</w:t>
            </w: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9"/>
                <w:szCs w:val="19"/>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Balance at September 30, 2018</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178,210,197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711,271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66,291</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(2,278,124)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95,373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(1,405,171)</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Balance at June 30, 2019</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183,122,757</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855,425</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(18,960)</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4"/>
              </w:rPr>
              <w:t>$ (2,413,326)</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5"/>
              </w:rPr>
              <w:t>(1,489,289)</w:t>
            </w:r>
          </w:p>
        </w:tc>
      </w:tr>
      <w:tr>
        <w:trPr>
          <w:trHeight w:val="206"/>
        </w:trPr>
        <w:tc>
          <w:tcPr>
            <w:tcW w:w="2580" w:type="dxa"/>
            <w:vAlign w:val="bottom"/>
          </w:tcPr>
          <w:p>
            <w:pPr>
              <w:spacing w:after="0"/>
              <w:rPr>
                <w:sz w:val="20"/>
                <w:szCs w:val="20"/>
                <w:color w:val="auto"/>
              </w:rPr>
            </w:pPr>
            <w:r>
              <w:rPr>
                <w:rFonts w:ascii="Arial" w:cs="Arial" w:eastAsia="Arial" w:hAnsi="Arial"/>
                <w:sz w:val="16"/>
                <w:szCs w:val="16"/>
                <w:color w:val="auto"/>
              </w:rPr>
              <w:t>Impact of change in accounting</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standard, net of tax</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33"/>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(19,420)</w:t>
            </w:r>
          </w:p>
        </w:tc>
        <w:tc>
          <w:tcPr>
            <w:tcW w:w="1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(19,777)</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(8,492)</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(8,646)</w:t>
            </w:r>
          </w:p>
        </w:tc>
      </w:tr>
      <w:tr>
        <w:trPr>
          <w:trHeight w:val="209"/>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($0.05 per share)</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(9,632)</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(9,632)</w:t>
            </w: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w w:val="95"/>
              </w:rPr>
              <w:t>Distributions to noncontrolling interest</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r>
      <w:tr>
        <w:trPr>
          <w:trHeight w:val="227"/>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Exchange of noncontrolling interest</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275,788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(2,280)</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3"/>
              </w:rPr>
              <w:t>Equity settlement convertible preferred</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stock</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8,677,163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w:t>
            </w:r>
          </w:p>
        </w:tc>
        <w:tc>
          <w:tcPr>
            <w:tcW w:w="100" w:type="dxa"/>
            <w:vAlign w:val="bottom"/>
            <w:shd w:val="clear" w:color="auto" w:fill="CFF0FC"/>
          </w:tcPr>
          <w:p>
            <w:pPr>
              <w:spacing w:after="0"/>
              <w:rPr>
                <w:sz w:val="18"/>
                <w:szCs w:val="18"/>
                <w:color w:val="auto"/>
              </w:rPr>
            </w:pPr>
          </w:p>
        </w:tc>
      </w:tr>
      <w:tr>
        <w:trPr>
          <w:trHeight w:val="227"/>
        </w:trPr>
        <w:tc>
          <w:tcPr>
            <w:tcW w:w="2580" w:type="dxa"/>
            <w:vAlign w:val="bottom"/>
          </w:tcPr>
          <w:p>
            <w:pPr>
              <w:spacing w:after="0"/>
              <w:rPr>
                <w:sz w:val="20"/>
                <w:szCs w:val="20"/>
                <w:color w:val="auto"/>
              </w:rPr>
            </w:pPr>
            <w:r>
              <w:rPr>
                <w:rFonts w:ascii="Arial" w:cs="Arial" w:eastAsia="Arial" w:hAnsi="Arial"/>
                <w:sz w:val="16"/>
                <w:szCs w:val="16"/>
                <w:color w:val="auto"/>
              </w:rPr>
              <w:t>Net share settlement</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r>
      <w:tr>
        <w:trPr>
          <w:trHeight w:val="227"/>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64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12,871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FF0FC"/>
          </w:tcPr>
          <w:p>
            <w:pPr>
              <w:spacing w:after="0"/>
              <w:rPr>
                <w:sz w:val="19"/>
                <w:szCs w:val="19"/>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w w:val="93"/>
              </w:rPr>
              <w:t>Issuance of common stock - employee</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stock purchase plan</w:t>
            </w:r>
          </w:p>
        </w:tc>
        <w:tc>
          <w:tcPr>
            <w:tcW w:w="100" w:type="dxa"/>
            <w:vAlign w:val="bottom"/>
            <w:shd w:val="clear" w:color="auto" w:fill="CFF0FC"/>
          </w:tcPr>
          <w:p>
            <w:pPr>
              <w:spacing w:after="0"/>
              <w:rPr>
                <w:sz w:val="18"/>
                <w:szCs w:val="18"/>
                <w:color w:val="auto"/>
              </w:rPr>
            </w:pPr>
          </w:p>
        </w:tc>
        <w:tc>
          <w:tcPr>
            <w:tcW w:w="5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49,487</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FF0FC"/>
          </w:tcPr>
          <w:p>
            <w:pPr>
              <w:spacing w:after="0"/>
              <w:rPr>
                <w:sz w:val="18"/>
                <w:szCs w:val="18"/>
                <w:color w:val="auto"/>
              </w:rPr>
            </w:pPr>
          </w:p>
        </w:tc>
      </w:tr>
      <w:tr>
        <w:trPr>
          <w:trHeight w:val="207"/>
        </w:trPr>
        <w:tc>
          <w:tcPr>
            <w:tcW w:w="2580" w:type="dxa"/>
            <w:vAlign w:val="bottom"/>
          </w:tcPr>
          <w:p>
            <w:pPr>
              <w:spacing w:after="0"/>
              <w:rPr>
                <w:sz w:val="20"/>
                <w:szCs w:val="20"/>
                <w:color w:val="auto"/>
              </w:rPr>
            </w:pPr>
            <w:r>
              <w:rPr>
                <w:rFonts w:ascii="Arial" w:cs="Arial" w:eastAsia="Arial" w:hAnsi="Arial"/>
                <w:sz w:val="16"/>
                <w:szCs w:val="16"/>
                <w:color w:val="auto"/>
              </w:rPr>
              <w:t>Balance at September 30, 2019</w:t>
            </w:r>
          </w:p>
        </w:tc>
        <w:tc>
          <w:tcPr>
            <w:tcW w:w="640" w:type="dxa"/>
            <w:vAlign w:val="bottom"/>
            <w:gridSpan w:val="4"/>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192,138,066</w:t>
            </w:r>
          </w:p>
        </w:tc>
        <w:tc>
          <w:tcPr>
            <w:tcW w:w="4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948,382</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(27,452)</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 (2,442,378)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84,590</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(1,436,839)</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160"/>
              <w:spacing w:after="0" w:line="162" w:lineRule="exact"/>
              <w:rPr>
                <w:sz w:val="20"/>
                <w:szCs w:val="20"/>
                <w:color w:val="auto"/>
              </w:rPr>
            </w:pPr>
            <w:r>
              <w:rPr>
                <w:rFonts w:ascii="Arial" w:cs="Arial" w:eastAsia="Arial" w:hAnsi="Arial"/>
                <w:sz w:val="15"/>
                <w:szCs w:val="15"/>
                <w:color w:val="auto"/>
                <w:w w:val="94"/>
              </w:rPr>
              <w:t>Accumulated</w:t>
            </w: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jc w:val="center"/>
              <w:ind w:right="220"/>
              <w:spacing w:after="0" w:line="162" w:lineRule="exact"/>
              <w:rPr>
                <w:sz w:val="20"/>
                <w:szCs w:val="20"/>
                <w:color w:val="auto"/>
              </w:rPr>
            </w:pPr>
            <w:r>
              <w:rPr>
                <w:rFonts w:ascii="Arial" w:cs="Arial" w:eastAsia="Arial" w:hAnsi="Arial"/>
                <w:sz w:val="15"/>
                <w:szCs w:val="15"/>
                <w:color w:val="auto"/>
                <w:w w:val="96"/>
              </w:rPr>
              <w:t>Distributions</w:t>
            </w: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w w:val="94"/>
              </w:rPr>
              <w:t>Additional</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0"/>
              </w:rPr>
              <w:t>Other</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in Excess of</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w w:val="89"/>
              </w:rPr>
              <w:t>Total</w:t>
            </w:r>
          </w:p>
        </w:tc>
      </w:tr>
      <w:tr>
        <w:trPr>
          <w:trHeight w:val="162"/>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Paid-in</w:t>
            </w:r>
          </w:p>
        </w:tc>
        <w:tc>
          <w:tcPr>
            <w:tcW w:w="1100" w:type="dxa"/>
            <w:vAlign w:val="bottom"/>
            <w:gridSpan w:val="3"/>
          </w:tcPr>
          <w:p>
            <w:pPr>
              <w:spacing w:after="0" w:line="162" w:lineRule="exact"/>
              <w:rPr>
                <w:sz w:val="20"/>
                <w:szCs w:val="20"/>
                <w:color w:val="auto"/>
              </w:rPr>
            </w:pPr>
            <w:r>
              <w:rPr>
                <w:rFonts w:ascii="Arial" w:cs="Arial" w:eastAsia="Arial" w:hAnsi="Arial"/>
                <w:sz w:val="15"/>
                <w:szCs w:val="15"/>
                <w:color w:val="auto"/>
              </w:rPr>
              <w:t>Comprehensive</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2"/>
              </w:rPr>
              <w:t>Accumulated</w:t>
            </w:r>
          </w:p>
        </w:tc>
        <w:tc>
          <w:tcPr>
            <w:tcW w:w="1160" w:type="dxa"/>
            <w:vAlign w:val="bottom"/>
            <w:gridSpan w:val="3"/>
          </w:tcPr>
          <w:p>
            <w:pPr>
              <w:spacing w:after="0" w:line="162" w:lineRule="exact"/>
              <w:rPr>
                <w:sz w:val="20"/>
                <w:szCs w:val="20"/>
                <w:color w:val="auto"/>
              </w:rPr>
            </w:pPr>
            <w:r>
              <w:rPr>
                <w:rFonts w:ascii="Arial" w:cs="Arial" w:eastAsia="Arial" w:hAnsi="Arial"/>
                <w:sz w:val="15"/>
                <w:szCs w:val="15"/>
                <w:color w:val="auto"/>
              </w:rPr>
              <w:t>Noncontrolling</w:t>
            </w:r>
          </w:p>
        </w:tc>
        <w:tc>
          <w:tcPr>
            <w:tcW w:w="98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w w:val="89"/>
              </w:rPr>
              <w:t>Shareholders'</w:t>
            </w:r>
          </w:p>
        </w:tc>
      </w:tr>
      <w:tr>
        <w:trPr>
          <w:trHeight w:val="17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share data)</w:t>
            </w:r>
          </w:p>
        </w:tc>
        <w:tc>
          <w:tcPr>
            <w:tcW w:w="160" w:type="dxa"/>
            <w:vAlign w:val="bottom"/>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w w:val="99"/>
              </w:rPr>
              <w:t>Preferred Stock</w:t>
            </w:r>
          </w:p>
        </w:tc>
        <w:tc>
          <w:tcPr>
            <w:tcW w:w="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color w:val="auto"/>
              </w:rPr>
              <w:t>Common Stock</w:t>
            </w:r>
          </w:p>
        </w:tc>
        <w:tc>
          <w:tcPr>
            <w:tcW w:w="2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color w:val="auto"/>
              </w:rPr>
              <w:t>Capital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9"/>
              <w:spacing w:after="0"/>
              <w:rPr>
                <w:sz w:val="20"/>
                <w:szCs w:val="20"/>
                <w:color w:val="auto"/>
              </w:rPr>
            </w:pPr>
            <w:r>
              <w:rPr>
                <w:rFonts w:ascii="Arial" w:cs="Arial" w:eastAsia="Arial" w:hAnsi="Arial"/>
                <w:sz w:val="15"/>
                <w:szCs w:val="15"/>
                <w:color w:val="auto"/>
                <w:w w:val="93"/>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Earnings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5"/>
                <w:szCs w:val="15"/>
                <w:color w:val="auto"/>
              </w:rPr>
              <w:t>Interest</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Deficit</w:t>
            </w:r>
          </w:p>
        </w:tc>
        <w:tc>
          <w:tcPr>
            <w:tcW w:w="100" w:type="dxa"/>
            <w:vAlign w:val="bottom"/>
          </w:tcPr>
          <w:p>
            <w:pPr>
              <w:spacing w:after="0"/>
              <w:rPr>
                <w:sz w:val="15"/>
                <w:szCs w:val="15"/>
                <w:color w:val="auto"/>
              </w:rPr>
            </w:pPr>
          </w:p>
        </w:tc>
      </w:tr>
      <w:tr>
        <w:trPr>
          <w:trHeight w:val="183"/>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w w:val="78"/>
              </w:rPr>
              <w:t>Shares</w:t>
            </w:r>
          </w:p>
        </w:tc>
        <w:tc>
          <w:tcPr>
            <w:tcW w:w="200" w:type="dxa"/>
            <w:vAlign w:val="bottom"/>
          </w:tcPr>
          <w:p>
            <w:pPr>
              <w:spacing w:after="0"/>
              <w:rPr>
                <w:sz w:val="15"/>
                <w:szCs w:val="15"/>
                <w:color w:val="auto"/>
              </w:rPr>
            </w:pPr>
          </w:p>
        </w:tc>
        <w:tc>
          <w:tcPr>
            <w:tcW w:w="74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1120" w:type="dxa"/>
            <w:vAlign w:val="bottom"/>
            <w:gridSpan w:val="4"/>
          </w:tcPr>
          <w:p>
            <w:pPr>
              <w:ind w:left="240"/>
              <w:spacing w:after="0" w:line="183" w:lineRule="exact"/>
              <w:rPr>
                <w:sz w:val="20"/>
                <w:szCs w:val="20"/>
                <w:color w:val="auto"/>
              </w:rPr>
            </w:pPr>
            <w:r>
              <w:rPr>
                <w:rFonts w:ascii="Arial" w:cs="Arial" w:eastAsia="Arial" w:hAnsi="Arial"/>
                <w:sz w:val="16"/>
                <w:szCs w:val="16"/>
                <w:color w:val="auto"/>
              </w:rPr>
              <w:t>Shares</w:t>
            </w:r>
          </w:p>
        </w:tc>
        <w:tc>
          <w:tcPr>
            <w:tcW w:w="76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174,851,514</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$ 644,328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7,821</w:t>
            </w:r>
          </w:p>
        </w:tc>
        <w:tc>
          <w:tcPr>
            <w:tcW w:w="1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 (1,960,715)</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101,407</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4"/>
              </w:rPr>
              <w:t>$ (1,207,142)</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1,838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Pr>
          <w:p>
            <w:pPr>
              <w:spacing w:after="0"/>
              <w:rPr>
                <w:sz w:val="19"/>
                <w:szCs w:val="19"/>
                <w:color w:val="auto"/>
              </w:rPr>
            </w:pP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At-the-market issuance of common</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 net of offering costs</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3,180,548</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64,423</w:t>
            </w:r>
          </w:p>
        </w:tc>
        <w:tc>
          <w:tcPr>
            <w:tcW w:w="100" w:type="dxa"/>
            <w:vAlign w:val="bottom"/>
            <w:shd w:val="clear" w:color="auto" w:fill="CFF0FC"/>
          </w:tcPr>
          <w:p>
            <w:pPr>
              <w:spacing w:after="0"/>
              <w:rPr>
                <w:sz w:val="18"/>
                <w:szCs w:val="18"/>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Amortization of discount of convertible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(2,235)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(2,235)</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58,470</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59,850</w:t>
            </w:r>
          </w:p>
        </w:tc>
        <w:tc>
          <w:tcPr>
            <w:tcW w:w="100" w:type="dxa"/>
            <w:vAlign w:val="bottom"/>
            <w:shd w:val="clear" w:color="auto" w:fill="CFF0FC"/>
          </w:tcPr>
          <w:p>
            <w:pPr>
              <w:spacing w:after="0"/>
              <w:rPr>
                <w:sz w:val="20"/>
                <w:szCs w:val="20"/>
                <w:color w:val="auto"/>
              </w:rPr>
            </w:pP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Common stock dividends declared</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(318,865)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(318,865)</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Distributions to noncontrolling interest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(7,438)</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(7,438)</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Convertible preferred stock dividends</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(1,968)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(1,968)</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share settlement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(1,302)</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(273)</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(1,575)</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178,135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6,058</w:t>
            </w:r>
          </w:p>
        </w:tc>
        <w:tc>
          <w:tcPr>
            <w:tcW w:w="100" w:type="dxa"/>
            <w:vAlign w:val="bottom"/>
          </w:tcPr>
          <w:p>
            <w:pPr>
              <w:spacing w:after="0"/>
              <w:rPr>
                <w:sz w:val="19"/>
                <w:szCs w:val="19"/>
                <w:color w:val="auto"/>
              </w:rPr>
            </w:pPr>
          </w:p>
        </w:tc>
      </w:tr>
      <w:tr>
        <w:trPr>
          <w:trHeight w:val="230"/>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7"/>
              </w:rPr>
              <w:t>Impact of change in accounting standard</w:t>
            </w: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FF0FC"/>
          </w:tcPr>
          <w:p>
            <w:pPr>
              <w:spacing w:after="0"/>
              <w:rPr>
                <w:sz w:val="19"/>
                <w:szCs w:val="19"/>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6"/>
                <w:szCs w:val="16"/>
                <w:color w:val="auto"/>
              </w:rPr>
              <w:t>Balance at September 30, 2018</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178,210,197</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$ 711,271</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66,291</w:t>
            </w: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 (2,278,124)</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95,373</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(1,405,171)</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180,535,971</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$ 757,517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30,105</w:t>
            </w:r>
          </w:p>
        </w:tc>
        <w:tc>
          <w:tcPr>
            <w:tcW w:w="1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 (2,373,218)</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4"/>
              </w:rPr>
              <w:t>$ (1,493,203)</w:t>
            </w: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Impact of change in accounting</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color w:val="auto"/>
              </w:rPr>
              <w:t>standard, net of tax</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(63,222)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(63,222)</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21,739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22,262</w:t>
            </w:r>
          </w:p>
        </w:tc>
        <w:tc>
          <w:tcPr>
            <w:tcW w:w="100" w:type="dxa"/>
            <w:vAlign w:val="bottom"/>
            <w:shd w:val="clear" w:color="auto" w:fill="CFF0FC"/>
          </w:tcPr>
          <w:p>
            <w:pPr>
              <w:spacing w:after="0"/>
              <w:rPr>
                <w:sz w:val="20"/>
                <w:szCs w:val="20"/>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At-the-market issuance of common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color w:val="auto"/>
              </w:rPr>
              <w:t>stock, net of offering costs</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1,176,186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21,641</w:t>
            </w:r>
          </w:p>
        </w:tc>
        <w:tc>
          <w:tcPr>
            <w:tcW w:w="100" w:type="dxa"/>
            <w:vAlign w:val="bottom"/>
          </w:tcPr>
          <w:p>
            <w:pPr>
              <w:spacing w:after="0"/>
              <w:rPr>
                <w:sz w:val="18"/>
                <w:szCs w:val="18"/>
                <w:color w:val="auto"/>
              </w:rPr>
            </w:pP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Amortization of discount on convertible</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preferred stock</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(993)</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(993)</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Other comprehensive loss</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(57,557)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(1,201)</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(58,758)</w:t>
            </w: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Common stock dividends declared</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($0.05 per share)</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(26,802)</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(26,802)</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Distributions to noncontrolling interest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(567)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(567)</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Exchange of noncontrolling interest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666,576</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(6,540)</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Convertible preferred stock dividends</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(875)</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Equity settlement convertible preferred</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8,677,163</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87,499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87,500</w:t>
            </w:r>
          </w:p>
        </w:tc>
        <w:tc>
          <w:tcPr>
            <w:tcW w:w="100" w:type="dxa"/>
            <w:vAlign w:val="bottom"/>
            <w:shd w:val="clear" w:color="auto" w:fill="CFF0FC"/>
          </w:tcPr>
          <w:p>
            <w:pPr>
              <w:spacing w:after="0"/>
              <w:rPr>
                <w:sz w:val="18"/>
                <w:szCs w:val="18"/>
                <w:color w:val="auto"/>
              </w:rPr>
            </w:pP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Net share settlement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(1,832)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(1,832)</w:t>
            </w:r>
          </w:p>
        </w:tc>
      </w:tr>
      <w:tr>
        <w:trPr>
          <w:trHeight w:val="233"/>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353,498</w:t>
            </w:r>
          </w:p>
        </w:tc>
        <w:tc>
          <w:tcPr>
            <w:tcW w:w="20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7,930</w:t>
            </w:r>
          </w:p>
        </w:tc>
        <w:tc>
          <w:tcPr>
            <w:tcW w:w="100" w:type="dxa"/>
            <w:vAlign w:val="bottom"/>
            <w:shd w:val="clear" w:color="auto" w:fill="CFF0FC"/>
          </w:tcPr>
          <w:p>
            <w:pPr>
              <w:spacing w:after="0"/>
              <w:rPr>
                <w:sz w:val="20"/>
                <w:szCs w:val="20"/>
                <w:color w:val="auto"/>
              </w:rPr>
            </w:pP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Equity settled contingent consideration</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645,385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11,178</w:t>
            </w:r>
          </w:p>
        </w:tc>
        <w:tc>
          <w:tcPr>
            <w:tcW w:w="100" w:type="dxa"/>
            <w:vAlign w:val="bottom"/>
          </w:tcPr>
          <w:p>
            <w:pPr>
              <w:spacing w:after="0"/>
              <w:rPr>
                <w:sz w:val="19"/>
                <w:szCs w:val="19"/>
                <w:color w:val="auto"/>
              </w:rPr>
            </w:pP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Issuance of common stock - employee</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 purchase plan</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83,287</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spacing w:after="0"/>
              <w:rPr>
                <w:sz w:val="18"/>
                <w:szCs w:val="18"/>
                <w:color w:val="auto"/>
              </w:rPr>
            </w:pPr>
          </w:p>
        </w:tc>
      </w:tr>
      <w:tr>
        <w:trPr>
          <w:trHeight w:val="206"/>
        </w:trPr>
        <w:tc>
          <w:tcPr>
            <w:tcW w:w="2840" w:type="dxa"/>
            <w:vAlign w:val="bottom"/>
            <w:gridSpan w:val="2"/>
          </w:tcPr>
          <w:p>
            <w:pPr>
              <w:spacing w:after="0"/>
              <w:rPr>
                <w:sz w:val="20"/>
                <w:szCs w:val="20"/>
                <w:color w:val="auto"/>
              </w:rPr>
            </w:pPr>
            <w:r>
              <w:rPr>
                <w:rFonts w:ascii="Arial" w:cs="Arial" w:eastAsia="Arial" w:hAnsi="Arial"/>
                <w:sz w:val="16"/>
                <w:szCs w:val="16"/>
                <w:color w:val="auto"/>
              </w:rPr>
              <w:t>Equity component value of</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6"/>
                <w:szCs w:val="16"/>
                <w:color w:val="auto"/>
              </w:rPr>
              <w:t>exchangeable note issuance, net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80,770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80,770</w:t>
            </w:r>
          </w:p>
        </w:tc>
        <w:tc>
          <w:tcPr>
            <w:tcW w:w="100" w:type="dxa"/>
            <w:vAlign w:val="bottom"/>
          </w:tcPr>
          <w:p>
            <w:pPr>
              <w:spacing w:after="0"/>
              <w:rPr>
                <w:sz w:val="18"/>
                <w:szCs w:val="18"/>
                <w:color w:val="auto"/>
              </w:rPr>
            </w:pPr>
          </w:p>
        </w:tc>
      </w:tr>
      <w:tr>
        <w:trPr>
          <w:trHeight w:val="209"/>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Deferred tax liability related to</w:t>
            </w: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exchangeable note issuance</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(3,499)</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(3,499)</w:t>
            </w:r>
          </w:p>
        </w:tc>
      </w:tr>
      <w:tr>
        <w:trPr>
          <w:trHeight w:val="227"/>
        </w:trPr>
        <w:tc>
          <w:tcPr>
            <w:tcW w:w="2840" w:type="dxa"/>
            <w:vAlign w:val="bottom"/>
            <w:gridSpan w:val="2"/>
          </w:tcPr>
          <w:p>
            <w:pPr>
              <w:spacing w:after="0"/>
              <w:rPr>
                <w:sz w:val="20"/>
                <w:szCs w:val="20"/>
                <w:color w:val="auto"/>
              </w:rPr>
            </w:pPr>
            <w:r>
              <w:rPr>
                <w:rFonts w:ascii="Arial" w:cs="Arial" w:eastAsia="Arial" w:hAnsi="Arial"/>
                <w:sz w:val="16"/>
                <w:szCs w:val="16"/>
                <w:color w:val="auto"/>
              </w:rPr>
              <w:t>Sale of common stock warrant</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50,819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50,819</w:t>
            </w:r>
          </w:p>
        </w:tc>
        <w:tc>
          <w:tcPr>
            <w:tcW w:w="100" w:type="dxa"/>
            <w:vAlign w:val="bottom"/>
          </w:tcPr>
          <w:p>
            <w:pPr>
              <w:spacing w:after="0"/>
              <w:rPr>
                <w:sz w:val="19"/>
                <w:szCs w:val="19"/>
                <w:color w:val="auto"/>
              </w:rPr>
            </w:pPr>
          </w:p>
        </w:tc>
      </w:tr>
      <w:tr>
        <w:trPr>
          <w:trHeight w:val="230"/>
        </w:trPr>
        <w:tc>
          <w:tcPr>
            <w:tcW w:w="28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Payment for bond hedge option</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(70,035)</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(70,035)</w:t>
            </w:r>
          </w:p>
        </w:tc>
      </w:tr>
      <w:tr>
        <w:trPr>
          <w:trHeight w:val="20"/>
        </w:trPr>
        <w:tc>
          <w:tcPr>
            <w:tcW w:w="26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6"/>
                <w:szCs w:val="16"/>
                <w:color w:val="auto"/>
              </w:rPr>
              <w:t>Balance at September 30, 2019</w:t>
            </w: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192,138,066</w:t>
            </w:r>
          </w:p>
        </w:tc>
        <w:tc>
          <w:tcPr>
            <w:tcW w:w="2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$ 948,382</w:t>
            </w:r>
          </w:p>
        </w:tc>
        <w:tc>
          <w:tcPr>
            <w:tcW w:w="2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(27,452)</w:t>
            </w:r>
          </w:p>
        </w:tc>
        <w:tc>
          <w:tcPr>
            <w:tcW w:w="1140" w:type="dxa"/>
            <w:vAlign w:val="bottom"/>
            <w:gridSpan w:val="3"/>
          </w:tcPr>
          <w:p>
            <w:pPr>
              <w:jc w:val="right"/>
              <w:ind w:right="160"/>
              <w:spacing w:after="0"/>
              <w:rPr>
                <w:sz w:val="20"/>
                <w:szCs w:val="20"/>
                <w:color w:val="auto"/>
              </w:rPr>
            </w:pPr>
            <w:r>
              <w:rPr>
                <w:rFonts w:ascii="Arial" w:cs="Arial" w:eastAsia="Arial" w:hAnsi="Arial"/>
                <w:sz w:val="16"/>
                <w:szCs w:val="16"/>
                <w:color w:val="auto"/>
              </w:rPr>
              <w:t>$ (2,442,378)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84,590</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(1,436,839)</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73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6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22,262</w:t>
            </w:r>
          </w:p>
        </w:tc>
        <w:tc>
          <w:tcPr>
            <w:tcW w:w="2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307,571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(6,137)</w:t>
            </w: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revenues</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(1,450)</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(10,932)</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7,930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(28,530)</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Gain on sale of real estate</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(28,995)</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on sale of Uniti Fiber Midwest operations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Loss on asset disposal</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5,206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15,885</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30"/>
        </w:trPr>
        <w:tc>
          <w:tcPr>
            <w:tcW w:w="736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4,560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56,551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Deferred revenue from prepaid rent - Bluebird / Uniti Fiber Midwest networks (Note 5)</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174,500</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561,796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(4,211)</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Bluebird asset acquisition</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(318,990)</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sale of Uniti Fiber Midwest operations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NMS asset acquisitions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capital expenditures</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(264,862)</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(297,108)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130,429</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(451,234)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(15,810)</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(15,810)</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(129,075)</w:t>
            </w: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(318,116)</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(32,253)</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(18,640)</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(2,873)</w:t>
            </w: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(203,981)</w:t>
            </w: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Capital lease payments</w:t>
            </w: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(3,179)</w:t>
            </w:r>
          </w:p>
        </w:tc>
        <w:tc>
          <w:tcPr>
            <w:tcW w:w="4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Payments for financing costs</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(49,497)</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issuance, net of costs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Proceeds from issuance of notes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345,000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Proceeds from sale of warrants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50,819</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Payment for bond hedge option</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(70,035)</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Net share settlement</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(1,832)</w:t>
            </w:r>
          </w:p>
        </w:tc>
        <w:tc>
          <w:tcPr>
            <w:tcW w:w="4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7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48,772</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260"/>
              <w:spacing w:after="0"/>
              <w:rPr>
                <w:sz w:val="20"/>
                <w:szCs w:val="20"/>
                <w:color w:val="auto"/>
              </w:rPr>
            </w:pPr>
            <w:r>
              <w:rPr>
                <w:rFonts w:ascii="Arial" w:cs="Arial" w:eastAsia="Arial" w:hAnsi="Arial"/>
                <w:sz w:val="18"/>
                <w:szCs w:val="18"/>
                <w:color w:val="auto"/>
              </w:rPr>
              <w:t>Effect of exchange rates on cash and cash equivalents</w:t>
            </w:r>
          </w:p>
        </w:tc>
        <w:tc>
          <w:tcPr>
            <w:tcW w:w="4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Net increase in cash and cash equivalents</w:t>
            </w:r>
          </w:p>
        </w:tc>
        <w:tc>
          <w:tcPr>
            <w:tcW w:w="4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159,291</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197,317</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4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and equipment acquired but not yet paid</w:t>
            </w:r>
          </w:p>
        </w:tc>
        <w:tc>
          <w:tcPr>
            <w:tcW w:w="25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19,947</w:t>
            </w:r>
          </w:p>
        </w:tc>
        <w:tc>
          <w:tcPr>
            <w:tcW w:w="7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11,446</w:t>
            </w: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8"/>
                <w:szCs w:val="18"/>
                <w:color w:val="auto"/>
              </w:rPr>
              <w:t>Tenant capital improvements</w:t>
            </w:r>
          </w:p>
        </w:tc>
        <w:tc>
          <w:tcPr>
            <w:tcW w:w="258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122,577</w:t>
            </w:r>
          </w:p>
        </w:tc>
        <w:tc>
          <w:tcPr>
            <w:tcW w:w="7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124,036</w:t>
            </w:r>
          </w:p>
        </w:tc>
      </w:tr>
      <w:tr>
        <w:trPr>
          <w:trHeight w:val="230"/>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Settlement of convertible preferred stock, Series A Shares</w:t>
            </w:r>
          </w:p>
        </w:tc>
        <w:tc>
          <w:tcPr>
            <w:tcW w:w="25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87,500</w:t>
            </w:r>
          </w:p>
        </w:tc>
        <w:tc>
          <w:tcPr>
            <w:tcW w:w="7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gridSpan w:val="2"/>
          </w:tcPr>
          <w:p>
            <w:pPr>
              <w:ind w:left="260"/>
              <w:spacing w:after="0"/>
              <w:rPr>
                <w:sz w:val="20"/>
                <w:szCs w:val="20"/>
                <w:color w:val="auto"/>
              </w:rPr>
            </w:pPr>
            <w:r>
              <w:rPr>
                <w:rFonts w:ascii="Arial" w:cs="Arial" w:eastAsia="Arial" w:hAnsi="Arial"/>
                <w:sz w:val="18"/>
                <w:szCs w:val="18"/>
                <w:color w:val="auto"/>
                <w:w w:val="92"/>
              </w:rPr>
              <w:t>Settlement of contingent consideration through non-cash consideration</w:t>
            </w:r>
          </w:p>
        </w:tc>
        <w:tc>
          <w:tcPr>
            <w:tcW w:w="25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11,178</w:t>
            </w:r>
          </w:p>
        </w:tc>
        <w:tc>
          <w:tcPr>
            <w:tcW w:w="7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Exchange of noncontrolling interest through non-cash consideration</w:t>
            </w:r>
          </w:p>
        </w:tc>
        <w:tc>
          <w:tcPr>
            <w:tcW w:w="25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6,540</w:t>
            </w:r>
          </w:p>
        </w:tc>
        <w:tc>
          <w:tcPr>
            <w:tcW w:w="7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8100" w:type="dxa"/>
            <w:vAlign w:val="bottom"/>
            <w:gridSpan w:val="3"/>
          </w:tcPr>
          <w:p>
            <w:pPr>
              <w:jc w:val="center"/>
              <w:ind w:left="67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87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580" w:type="dxa"/>
            <w:vAlign w:val="bottom"/>
          </w:tcPr>
          <w:p>
            <w:pPr>
              <w:jc w:val="right"/>
              <w:ind w:right="219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September 30, 2019, we are the sole general partner of the Operating Partnership and own approximately 98.2% of the partnership interests in the Operating Partnership.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accompanying Condensed Consolidated Financial Statements include all accounts of the Company and its wholly owned and/or controlled subsidiaries, including the Operating Partnership. Under the Accounting Standards Codification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2018 (“Annual Report”), filed with the SEC on March 18, 2019. Accordingly, significant accounting policies and other disclosures normally provided have been omitted from the accompanying Condensed Consolidated Financial Statements and related notes since such items are disclosed in our Annual Report.</w:t>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Going Concern</w:t>
      </w:r>
      <w:r>
        <w:rPr>
          <w:rFonts w:ascii="Arial" w:cs="Arial" w:eastAsia="Arial" w:hAnsi="Arial"/>
          <w:sz w:val="21"/>
          <w:szCs w:val="21"/>
          <w:color w:val="auto"/>
        </w:rPr>
        <w:t>—</w:t>
      </w: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 (Subtopic 205-40)</w:t>
      </w:r>
      <w:r>
        <w:rPr>
          <w:rFonts w:ascii="Arial" w:cs="Arial" w:eastAsia="Arial" w:hAnsi="Arial"/>
          <w:sz w:val="18"/>
          <w:szCs w:val="18"/>
          <w:color w:val="auto"/>
        </w:rPr>
        <w:t>, the Company’s management has evaluated whether there are conditions and events, considered in the aggregate, that raise</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doubt about the Company’s ability to continue as a going concern within one year after the date the accompanying Condensed Consolidated Financial Statements are issued.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party to a master lease agreement (the “Master Lease”) with Windstream Holdings, Inc. (“Windstream Holdings” and together with its consolidated subsidiaries “Windstream”), from which 68.2% of our revenue for the year ended December 31, 2018 was derived. Windstream was involved in litigation with an entity who acquired certain Windstream debt securities and thereafter issued a notice of default as to such securities related to our spin-off from Windstream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In response to the adverse outcome, on February 25, 2019, Windstream filed voluntary petitions for relief under Chapter 11 of the Bankruptcy Code in the U.S. Bankruptcy Court for the Southern District of New York.</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bankruptcy, Windstream has the option to assume or reject the Master Lease. Because the Master Lease is a single indivisible Master Lease with a single rent payment, it must be assumed or rejected in whole and cannot be sub-divided by facility or market absent Uniti’s consent.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Windstream has filed claims against us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which could affect our status as a REIT; that the Master Lease is a lease of personal property; and that rent payments and tenant capital improvements made by Windstream under the Master Lease since at least the third quarter of 2017 constitute constructive fraudulent transfers. A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 A rejection of the Master Lease, an adverse determination by a judge on Windstream’s claims against us,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 As a result, conditions or events have been identified that raise substantial doubt about the Company’s ability to continue as a going concern.</w:t>
      </w:r>
    </w:p>
    <w:p>
      <w:pPr>
        <w:spacing w:after="0" w:line="3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has considered the mitigating effects of management’s plans to alleviate the substantial doubt about the ability to continue as a going concern in the event there is a disruption in the payments due to us under the Master Lease prior to Windstream’s assumption or rejection of the lease, or in the event Windstream rejects the lease or if there is any adverse determinations in respect of Windstream’s claims. Those plans include deferring, reducing or delaying cash dividends and capital expenditures, if necessary, paying one or more dividends that are required to maintain our REIT status in shares to the extent allowed under the IRS REIT rules, curtailing acquisition activities, accessing the capital markets and identifying alternative sources of liquidity. Based on our analysis, including consideration of the timing of petitioners’ requirements to make post-petition lease payments under U.S. bankruptcy law, and absent any adverse determination in respect to Windstream’s claims or disruptions in rent payments under the Master Lease, we believe that we have adequate liquidity to continue to fund our operations for twelve months after the issuance of the accompanying Condensed Consolidated Financial Statements absent any adverse determination in respect to Windstream’s claims or disruptions in rent payments under the Master Lease. If our assumptions are incorrect, we could need additional sources of liquidity to fund our cash needs and cannot assure that we will obtain them. A rejection of the Master Lease, an adverse determination by a judge on Windstream’s claims against us,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financial and other covenants and maintain our status as a REIT.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The Company has evaluated its ability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continue as a going concern in light of the possibility of a consensual renegotiation of the Master Lease, and the impact of any renegotiated lease on our compliance with our debt covenants. We note that our Credit Agreement prohibits the Company from amending the Master Lease in a manner that, among other provisions, pro forma for any such amendment, would result in a consolidated secured leverage ratio that exceeds 5.0 to 1.0. Furthermore, management has no intention to enter into a lease amendment that would violate our debt covenants.</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However, there can be no certainty as to the outcome of judicial decisions or Windstream’s decision to assume or reject the Master Lease, and uncertainties exist as to the outcome or impacts of any potential consensual renegotiation of the Master Lease. Therefore, substantial doubt exists about our ability to continue as a going concern within one year after the issuance of the financial statements.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satisfaction of liabilities in the ordinary course of business. The accompanying Condensed Consolidated Financial Statements do not include any adjustments that might be necessary if the Company is unable to continue as a going concern.</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—Revenue under the Master Lease provided 65.3% and 69.6% of our revenue for the nine months ended September 30, 2019 and 2018,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succeed in its claim against us or otherwise experiences operating or liquidity difficulties and becomes unable to generate sufficient cash to make payments to us.</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u w:val="single" w:color="auto"/>
          <w:color w:val="auto"/>
        </w:rPr>
        <w:t>Straight-Line Revenue Receivable</w:t>
      </w:r>
      <w:r>
        <w:rPr>
          <w:rFonts w:ascii="Arial" w:cs="Arial" w:eastAsia="Arial" w:hAnsi="Arial"/>
          <w:sz w:val="18"/>
          <w:szCs w:val="18"/>
          <w:color w:val="auto"/>
        </w:rPr>
        <w:t xml:space="preserve">—As discussed in “Recently Issued Accounting Standards” in this Note 2, we have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At the date of adoption, due to uncertainties surrounding Windstream’s operations and liquidity, including uncertainties surrounding the outcome of Windstream’s pending litigation, we concluded that the receivable should be written off. As a result, effective January 1, 2019, the Master Lease will be accounted for on a cash basis in accordance with ASC 842, until a time at which there is more certainty regarding Windstream’s decision to assume or reject the Master Lease. At the adoption of ASC 842, we reflected the write off as a $61.5 million adjustment to equity resulting from the change in accounting standard.</w:t>
      </w:r>
    </w:p>
    <w:p>
      <w:pPr>
        <w:spacing w:after="0" w:line="19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u w:val="single" w:color="auto"/>
          <w:color w:val="auto"/>
        </w:rPr>
        <w:t>Exchangeable Notes and Related Transactions</w:t>
      </w:r>
      <w:r>
        <w:rPr>
          <w:rFonts w:ascii="Arial" w:cs="Arial" w:eastAsia="Arial" w:hAnsi="Arial"/>
          <w:sz w:val="18"/>
          <w:szCs w:val="18"/>
          <w:color w:val="auto"/>
        </w:rPr>
        <w:t xml:space="preserve">—On June 28, 2019, Uniti Fiber Holdings, Inc. (“Uniti Fiber”), a subsidiary of the Company, issued $345 million aggregate principal amount of 4.00% Exchangeable Senior Notes due June 15, 2024 (the “Exchangeable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In accordance with ASC 470-20,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because the conversion feature in the Exchangeable Notes is not bifurcated pursuant to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because the conversion can be settled in cash, shares, or a combination thereof, the Exchangeable Notes were separated into a liability component and an equity component in a manner that reflects Uniti Fiber’s non-convertible debt borrowing rate. The carrying amount of the liability component was calculated by measuring the fair value of a similar liability that does not have an associated conversion feature.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Note 10</w:t>
      </w:r>
      <w:r>
        <w:rPr>
          <w:rFonts w:ascii="Arial" w:cs="Arial" w:eastAsia="Arial" w:hAnsi="Arial"/>
          <w:sz w:val="18"/>
          <w:szCs w:val="18"/>
          <w:color w:val="000000"/>
        </w:rPr>
        <w:t>.</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offering of the Exchangeable Notes, Uniti Fiber entered into exchangeable note hedge transactions with respect to the Company’s common stock (the “Note Hedge Transactions”) with certain of the Initial Purchasers (as defined in Note 10) or their respective affiliates (collectively, the “Counterparties”). In addition, the Company entered into warrant transactions to sell to the Counterparties warrants (the “Warrants”) to acquire, subject to anti-dilution adjustments, up to approximately 27.8 million shares of the Company’s common stock in the aggregate at an exercise price of $16.42 per share. The warrant transactions may have a dilutive effect with respect to the Company’s common stock to the extent the market price per share of the Company’s common stock exceeds the strike price of the Warrants. While the Note Hedge Transactions and the Warrants meet the definition of a derivative in ASC 815-10-15-83, they each meet the equity scope exception specified in ASC 815-10-15-74(a); as such, the Warrants and the Notes Hedge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Transactions are not accounted for as derivatives that must be remeasured each reporting period and instead, are recorded in stockholders’ equity. </w:t>
      </w:r>
      <w:r>
        <w:rPr>
          <w:rFonts w:ascii="Arial" w:cs="Arial" w:eastAsia="Arial" w:hAnsi="Arial"/>
          <w:sz w:val="16"/>
          <w:szCs w:val="16"/>
          <w:u w:val="single" w:color="auto"/>
          <w:color w:val="0000EE"/>
        </w:rPr>
        <w:t>See Note 8</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7 have been reclassified to conform with current year presentation.</w:t>
      </w: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Transaction Related and Other Costs</w:t>
      </w:r>
      <w:r>
        <w:rPr>
          <w:rFonts w:ascii="Arial" w:cs="Arial" w:eastAsia="Arial" w:hAnsi="Arial"/>
          <w:sz w:val="18"/>
          <w:szCs w:val="18"/>
          <w:color w:val="auto"/>
        </w:rPr>
        <w:t>—The Company expenses non-capitalizable transaction related and other costs in the period in which they are incurred and services are received. Transaction related costs include incremental acquisition pursuit, transaction and integration costs, including unsuccessful acquisition pursuit costs. Pursuit and transaction costs include professional services (legal, accounting, advisory, regulatory, etc.), finder’s fees, travel expenses, and other direct expenses associated with an acquisition. Integration costs include direct costs necessary to integrate an acquired business, including professional services, systems and data conversion, severance and retention bonuses payable to employees of an acquired business. In addition, other costs, such as costs incurred as a result of Windstream’s bankruptcy filing, costs associated with Windstream’s claims against us (see Note 13), and costs associated with the implementation of our new enterprise resource planning system are included within this line item on the Condensed Consolidated Statements of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(“ROU”) asset and interest expense recognized based on an effective interest method, or as a single lease cost recognized on a straight-line basis over the term of the lease, respectively. A lessee is also required to record an ROU asset and a lease liability for all leases with a term of greater than 12 months regardless of their classification. The accounting for lessors remains largely unchanged. Leases with a term of 12 months or less will be accounted for consistent with existing guidance for operating leases today.</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w:t>
      </w:r>
    </w:p>
    <w:p>
      <w:pPr>
        <w:ind w:right="20" w:firstLine="8"/>
        <w:spacing w:after="0" w:line="261"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for minimum lease payments with a present value amounting to substantially all of the fair value of the leased asset at the date of lease inception.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left="760" w:hanging="374"/>
        <w:spacing w:after="0" w:line="27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2"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(i) fixed payments (including in-substance fixed payments), (ii) variable payments that depend on index or rate based on the index or rate at lease commencement, and (iii) the exercise price of a lessee option to purchase the underlying asset if the lessee is reasonably certain to exercise.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not probable, the lessee is placed on non-accrual status and Leasing revenue is recognized when cash payments are received.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to exclude sales taxes from lease payments in arrangements where we are a lessor.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adopted ASC 842 using a modified retrospective transition approach as of the effective date as permitted by the amendments in ASU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Target Improvements</w:t>
      </w:r>
      <w:r>
        <w:rPr>
          <w:rFonts w:ascii="Arial" w:cs="Arial" w:eastAsia="Arial" w:hAnsi="Arial"/>
          <w:sz w:val="18"/>
          <w:szCs w:val="18"/>
          <w:color w:val="auto"/>
        </w:rPr>
        <w:t>, which provides an alternative modified retrospective transition method. As a result, we were not required to adjust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permits an entity to elect an optional transaction practical expedient to not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land easements that exist or expire before the Company’s adoption of ASC 842 and that were not previously accounted for as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adoption of ASC 842, we have recorded an adjustment to equity of $63.2 million, net of tax for the cumulative effect from a change in accounting standard. Of this amount, $61.5 million related to the write-off of the Master Lease straight-line revenue receivable, and $1.7 million relates to the establishment of the ROU assets and lease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principal activities, separated by reportable segments (</w:t>
      </w:r>
      <w:r>
        <w:rPr>
          <w:rFonts w:ascii="Arial" w:cs="Arial" w:eastAsia="Arial" w:hAnsi="Arial"/>
          <w:sz w:val="17"/>
          <w:szCs w:val="17"/>
          <w:u w:val="single" w:color="auto"/>
          <w:color w:val="0000EE"/>
        </w:rPr>
        <w:t>see Note 12</w:t>
      </w:r>
      <w:r>
        <w:rPr>
          <w:rFonts w:ascii="Arial" w:cs="Arial" w:eastAsia="Arial" w:hAnsi="Arial"/>
          <w:sz w:val="17"/>
          <w:szCs w:val="17"/>
          <w:color w:val="auto"/>
        </w:rPr>
        <w:t>), from which the Company generates its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business, Uniti Leasing, which is engaged in the acquisition of mission-critical communications assets and leasing them back to anchor customers on either an exclusive or shared-tenant basis. Due to the nature of these activities, they are outside the scope of the guidance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(“Topic 606”), and are recognized under other applicable guidance, including ASC 842 and, for periods prior to January 1, 2019, ASC 840. </w:t>
      </w:r>
      <w:hyperlink w:anchor="page19">
        <w:r>
          <w:rPr>
            <w:rFonts w:ascii="Arial" w:cs="Arial" w:eastAsia="Arial" w:hAnsi="Arial"/>
            <w:sz w:val="18"/>
            <w:szCs w:val="18"/>
            <w:u w:val="single" w:color="auto"/>
            <w:color w:val="auto"/>
          </w:rPr>
          <w:t>See Note 4</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-34290</wp:posOffset>
            </wp:positionV>
            <wp:extent cx="501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70" w:lineRule="exact"/>
        <w:rPr>
          <w:sz w:val="20"/>
          <w:szCs w:val="20"/>
          <w:color w:val="auto"/>
        </w:rPr>
      </w:pPr>
    </w:p>
    <w:p>
      <w:pPr>
        <w:ind w:left="1140" w:right="60" w:hanging="75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40" w:hanging="75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40" w:right="320" w:hanging="754"/>
        <w:spacing w:after="0" w:line="25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188" w:lineRule="exact"/>
        <w:rPr>
          <w:rFonts w:ascii="Arial" w:cs="Arial" w:eastAsia="Arial" w:hAnsi="Arial"/>
          <w:sz w:val="18"/>
          <w:szCs w:val="18"/>
          <w:color w:val="auto"/>
        </w:rPr>
      </w:pPr>
    </w:p>
    <w:p>
      <w:pPr>
        <w:ind w:left="1140" w:right="460" w:hanging="75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revenue is generated from contracts to provide various construction services such as equipment installation or the laying of fiber. Construction revenue is recognized over time as construction activities occur as we are either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1140" w:right="180"/>
        <w:spacing w:after="0" w:line="264" w:lineRule="auto"/>
        <w:rPr>
          <w:sz w:val="20"/>
          <w:szCs w:val="20"/>
          <w:color w:val="auto"/>
        </w:rPr>
      </w:pPr>
      <w:r>
        <w:rPr>
          <w:rFonts w:ascii="Arial" w:cs="Arial" w:eastAsia="Arial" w:hAnsi="Arial"/>
          <w:sz w:val="18"/>
          <w:szCs w:val="18"/>
          <w:color w:val="auto"/>
        </w:rPr>
        <w:t>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81" w:lineRule="exact"/>
        <w:rPr>
          <w:sz w:val="20"/>
          <w:szCs w:val="20"/>
          <w:color w:val="auto"/>
        </w:rPr>
      </w:pPr>
    </w:p>
    <w:p>
      <w:pPr>
        <w:ind w:left="1140" w:right="140" w:hanging="754"/>
        <w:spacing w:after="0" w:line="259"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40" w:right="100" w:hanging="754"/>
        <w:spacing w:after="0" w:line="283" w:lineRule="auto"/>
        <w:tabs>
          <w:tab w:leader="none" w:pos="1140" w:val="left"/>
        </w:tabs>
        <w:numPr>
          <w:ilvl w:val="0"/>
          <w:numId w:val="8"/>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ASC 840 for periods prior to January 1, 2019, and is outside the scope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8"/>
        </w:trPr>
        <w:tc>
          <w:tcPr>
            <w:tcW w:w="5560" w:type="dxa"/>
            <w:vAlign w:val="bottom"/>
            <w:gridSpan w:val="4"/>
          </w:tcPr>
          <w:p>
            <w:pPr>
              <w:spacing w:after="0"/>
              <w:rPr>
                <w:sz w:val="20"/>
                <w:szCs w:val="20"/>
                <w:color w:val="auto"/>
              </w:rPr>
            </w:pPr>
            <w:r>
              <w:rPr>
                <w:rFonts w:ascii="Arial" w:cs="Arial" w:eastAsia="Arial" w:hAnsi="Arial"/>
                <w:sz w:val="18"/>
                <w:szCs w:val="18"/>
                <w:color w:val="auto"/>
                <w:w w:val="90"/>
              </w:rPr>
              <w:t>The following table presents our revenues disaggregated by revenue stream.</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29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2019</w:t>
            </w:r>
          </w:p>
        </w:tc>
        <w:tc>
          <w:tcPr>
            <w:tcW w:w="2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31,449</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32,920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97,055</w:t>
            </w:r>
          </w:p>
        </w:tc>
        <w:tc>
          <w:tcPr>
            <w:tcW w:w="26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99,740</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18,879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16,463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44,850</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72,394</w:t>
            </w:r>
          </w:p>
        </w:tc>
        <w:tc>
          <w:tcPr>
            <w:tcW w:w="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66,322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220,181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194,377</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75,123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69,687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228,844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205,129</w:t>
            </w:r>
          </w:p>
        </w:tc>
        <w:tc>
          <w:tcPr>
            <w:tcW w:w="12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188,506</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182,949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541,751</w:t>
            </w:r>
          </w:p>
        </w:tc>
        <w:tc>
          <w:tcPr>
            <w:tcW w:w="120" w:type="dxa"/>
            <w:vAlign w:val="bottom"/>
            <w:shd w:val="clear" w:color="auto" w:fill="CFF0FC"/>
          </w:tcPr>
          <w:p>
            <w:pPr>
              <w:spacing w:after="0"/>
              <w:rPr>
                <w:sz w:val="19"/>
                <w:szCs w:val="19"/>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263,629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252,636</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789,074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746,880</w:t>
            </w:r>
          </w:p>
        </w:tc>
        <w:tc>
          <w:tcPr>
            <w:tcW w:w="1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September 30, 2019, and December 31, 2018, lease receivables were $26.3 million and $45.5 million, respectively, and receivables from contracts with customers were $60.4 million and $57.1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nine months ended September 30, 2019, we recognized revenues of $0.8 million and $3.3 million, respectively, that was included in the December 31, 2018 contract liabilities balance.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2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Balance at September 30, 2019</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September 30, 2019, our future revenues (i.e., transaction price related to remaining performance obligations) under contract accounted for under Topic 606 totaled $598.4 million, of which $526.7 million is related to contracts that are currently being invoiced and have an average remaining contract term of 2.5 years, while $71.7 million represents our backlog for sales bookings which have yet to be installed and have an average remaining contract term of 5.1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exclude from the transaction price any amounts collected from customers for sales taxes and therefore, such amounts are not included in revenue.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lease communications towers, ground, communications equipment, and dark fiber to tenants under operating leases. Our leases have initial lease terms ranging from five to 20 years, most of which includes options to extend or renew the leases for five to 80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nine months ended September 30, 2019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560,230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Lease payments to be received under non-cancellable operating leases where we are the lessor for the remainder of the lease terms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right"/>
              <w:ind w:right="212"/>
              <w:spacing w:after="0"/>
              <w:rPr>
                <w:sz w:val="20"/>
                <w:szCs w:val="20"/>
                <w:color w:val="auto"/>
              </w:rPr>
            </w:pPr>
            <w:r>
              <w:rPr>
                <w:rFonts w:ascii="Arial" w:cs="Arial" w:eastAsia="Arial" w:hAnsi="Arial"/>
                <w:sz w:val="14"/>
                <w:szCs w:val="14"/>
                <w:b w:val="1"/>
                <w:bCs w:val="1"/>
                <w:color w:val="auto"/>
                <w:w w:val="97"/>
              </w:rPr>
              <w:t xml:space="preserve">September 30, 2019 </w:t>
            </w:r>
            <w:r>
              <w:rPr>
                <w:rFonts w:ascii="Arial" w:cs="Arial" w:eastAsia="Arial" w:hAnsi="Arial"/>
                <w:sz w:val="12"/>
                <w:szCs w:val="12"/>
                <w:b w:val="1"/>
                <w:bCs w:val="1"/>
                <w:color w:val="auto"/>
                <w:w w:val="97"/>
              </w:rPr>
              <w:t>(1)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177,639</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724,269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730,486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696,713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727,167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699,561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730,184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702,663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4,983,671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4,706,951</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8,074,056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8,223,753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$7.2 billion relating to the Master Lease with Windstream.</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8"/>
          <w:szCs w:val="18"/>
          <w:color w:val="auto"/>
        </w:rPr>
        <w:t>Prior period amounts have not been adjusted under the modified retrospective transition approach.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as of September 30, 2019 are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8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340,995</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Poles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257,116</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2,801,312</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3,774,931</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89,770</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146,401</w:t>
            </w:r>
          </w:p>
        </w:tc>
        <w:tc>
          <w:tcPr>
            <w:tcW w:w="120" w:type="dxa"/>
            <w:vAlign w:val="bottom"/>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32,660</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10,262</w:t>
            </w:r>
          </w:p>
        </w:tc>
        <w:tc>
          <w:tcPr>
            <w:tcW w:w="120" w:type="dxa"/>
            <w:vAlign w:val="bottom"/>
            <w:shd w:val="clear" w:color="auto" w:fill="CFF0FC"/>
          </w:tcPr>
          <w:p>
            <w:pPr>
              <w:spacing w:after="0"/>
              <w:rPr>
                <w:sz w:val="19"/>
                <w:szCs w:val="19"/>
                <w:color w:val="auto"/>
              </w:rPr>
            </w:pPr>
          </w:p>
        </w:tc>
      </w:tr>
      <w:tr>
        <w:trPr>
          <w:trHeight w:val="223"/>
        </w:trPr>
        <w:tc>
          <w:tcPr>
            <w:tcW w:w="8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7,481,184</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(4,965,928)</w:t>
            </w: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Underlying assets under operating leases, net</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2,515,256</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nine months ended September 30, 2019 is summarized as follows:</w:t>
      </w:r>
    </w:p>
    <w:tbl>
      <w:tblPr>
        <w:tblLayout w:type="fixed"/>
        <w:tblInd w:w="0" w:type="dxa"/>
        <w:tblCellMar>
          <w:top w:w="0" w:type="dxa"/>
          <w:left w:w="0" w:type="dxa"/>
          <w:bottom w:w="0" w:type="dxa"/>
          <w:right w:w="0" w:type="dxa"/>
        </w:tblCellMar>
      </w:tblPr>
      <w:tr>
        <w:trPr>
          <w:trHeight w:val="141"/>
        </w:trPr>
        <w:tc>
          <w:tcPr>
            <w:tcW w:w="6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2"/>
                <w:szCs w:val="12"/>
                <w:color w:val="auto"/>
              </w:rPr>
            </w:pPr>
          </w:p>
        </w:tc>
        <w:tc>
          <w:tcPr>
            <w:tcW w:w="1860" w:type="dxa"/>
            <w:vAlign w:val="bottom"/>
            <w:gridSpan w:val="2"/>
          </w:tcPr>
          <w:p>
            <w:pPr>
              <w:ind w:left="140"/>
              <w:spacing w:after="0" w:line="141" w:lineRule="exact"/>
              <w:rPr>
                <w:sz w:val="20"/>
                <w:szCs w:val="20"/>
                <w:color w:val="auto"/>
              </w:rPr>
            </w:pPr>
            <w:r>
              <w:rPr>
                <w:rFonts w:ascii="Arial" w:cs="Arial" w:eastAsia="Arial" w:hAnsi="Arial"/>
                <w:sz w:val="14"/>
                <w:szCs w:val="14"/>
                <w:b w:val="1"/>
                <w:bCs w:val="1"/>
                <w:color w:val="auto"/>
              </w:rPr>
              <w:t>Nine Months Ended</w:t>
            </w:r>
          </w:p>
        </w:tc>
      </w:tr>
      <w:tr>
        <w:trPr>
          <w:trHeight w:val="171"/>
        </w:trPr>
        <w:tc>
          <w:tcPr>
            <w:tcW w:w="7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September 30, 2019</w:t>
            </w:r>
          </w:p>
        </w:tc>
        <w:tc>
          <w:tcPr>
            <w:tcW w:w="22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73,606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224,973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and dark fiber lease arrangements. We also have finance leases for dark fiber lease arrangements and other communications equipment. Our leases have initial lease terms ranging from less than one year to 30 years, most of which includes options to extend or renew the leases for less than one year to 85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2019, we have short term lease commitments amounting to approximately $1.8 million, for colocation and dark fiber arrangements.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nine months ended September 30, 2019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9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2019</w:t>
            </w: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19,278</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Less sublease income</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(7,857)</w:t>
            </w: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reported in the Condensed Consolidated Balance Sheets for leases where we are the lessee as of September 30, 2019 were as follows:</w:t>
      </w:r>
    </w:p>
    <w:p>
      <w:pPr>
        <w:spacing w:after="0" w:line="134" w:lineRule="exact"/>
        <w:rPr>
          <w:sz w:val="20"/>
          <w:szCs w:val="20"/>
          <w:color w:val="auto"/>
        </w:rPr>
      </w:pPr>
    </w:p>
    <w:p>
      <w:pPr>
        <w:spacing w:after="0"/>
        <w:tabs>
          <w:tab w:leader="none" w:pos="5900" w:val="left"/>
          <w:tab w:leader="none" w:pos="9720" w:val="left"/>
        </w:tabs>
        <w:rPr>
          <w:sz w:val="20"/>
          <w:szCs w:val="20"/>
          <w:color w:val="auto"/>
        </w:rPr>
      </w:pPr>
      <w:r>
        <w:rPr>
          <w:rFonts w:ascii="Arial" w:cs="Arial" w:eastAsia="Arial" w:hAnsi="Arial"/>
          <w:sz w:val="14"/>
          <w:szCs w:val="14"/>
          <w:color w:val="auto"/>
        </w:rPr>
        <w:t>(Thousands)</w:t>
      </w:r>
      <w:r>
        <w:rPr>
          <w:sz w:val="20"/>
          <w:szCs w:val="20"/>
          <w:color w:val="auto"/>
        </w:rPr>
        <w:tab/>
      </w:r>
      <w:r>
        <w:rPr>
          <w:rFonts w:ascii="Arial" w:cs="Arial" w:eastAsia="Arial" w:hAnsi="Arial"/>
          <w:sz w:val="14"/>
          <w:szCs w:val="14"/>
          <w:b w:val="1"/>
          <w:bCs w:val="1"/>
          <w:color w:val="auto"/>
        </w:rPr>
        <w:t>Location on Condensed Consolidated Balance Sheets</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Operating leases</w:t>
            </w:r>
          </w:p>
        </w:tc>
        <w:tc>
          <w:tcPr>
            <w:tcW w:w="18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asset, net</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Other assets, net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ROU liability</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w w:val="90"/>
              </w:rPr>
              <w:t>Accounts payable, accrued expenses and other</w:t>
            </w:r>
          </w:p>
        </w:tc>
      </w:tr>
      <w:tr>
        <w:trPr>
          <w:trHeight w:val="230"/>
        </w:trPr>
        <w:tc>
          <w:tcPr>
            <w:tcW w:w="5640" w:type="dxa"/>
            <w:vAlign w:val="bottom"/>
          </w:tcPr>
          <w:p>
            <w:pPr>
              <w:spacing w:after="0"/>
              <w:rPr>
                <w:sz w:val="20"/>
                <w:szCs w:val="20"/>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liabilities, net</w:t>
            </w: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Finance leases</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asset, gross</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ROU liability</w:t>
            </w:r>
          </w:p>
        </w:tc>
        <w:tc>
          <w:tcPr>
            <w:tcW w:w="364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w:t>
            </w: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58"/>
        </w:trPr>
        <w:tc>
          <w:tcPr>
            <w:tcW w:w="5640" w:type="dxa"/>
            <w:vAlign w:val="bottom"/>
          </w:tcPr>
          <w:p>
            <w:pPr>
              <w:spacing w:after="0"/>
              <w:rPr>
                <w:sz w:val="20"/>
                <w:szCs w:val="20"/>
                <w:color w:val="auto"/>
              </w:rPr>
            </w:pPr>
            <w:r>
              <w:rPr>
                <w:rFonts w:ascii="Arial" w:cs="Arial" w:eastAsia="Arial" w:hAnsi="Arial"/>
                <w:sz w:val="18"/>
                <w:szCs w:val="18"/>
                <w:i w:val="1"/>
                <w:iCs w:val="1"/>
                <w:color w:val="auto"/>
              </w:rPr>
              <w:t>Weighted-average discount rate</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w w:val="92"/>
              </w:rPr>
              <w:t>Other information related to leases as of September 30, 2019 are as follows:</w:t>
            </w: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-2306320</wp:posOffset>
            </wp:positionV>
            <wp:extent cx="72466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(Thousands)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220" w:hanging="1198"/>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112,579</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112,365</w:t>
      </w:r>
    </w:p>
    <w:p>
      <w:pPr>
        <w:spacing w:after="0" w:line="200" w:lineRule="exact"/>
        <w:rPr>
          <w:sz w:val="20"/>
          <w:szCs w:val="20"/>
          <w:color w:val="auto"/>
        </w:rPr>
      </w:pPr>
    </w:p>
    <w:p>
      <w:pPr>
        <w:spacing w:after="0" w:line="390" w:lineRule="exact"/>
        <w:rPr>
          <w:sz w:val="20"/>
          <w:szCs w:val="20"/>
          <w:color w:val="auto"/>
        </w:rPr>
      </w:pPr>
    </w:p>
    <w:p>
      <w:pPr>
        <w:ind w:left="1200" w:hanging="117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129,712</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55,225</w:t>
      </w:r>
    </w:p>
    <w:p>
      <w:pPr>
        <w:spacing w:after="0" w:line="200" w:lineRule="exact"/>
        <w:rPr>
          <w:sz w:val="20"/>
          <w:szCs w:val="20"/>
          <w:color w:val="auto"/>
        </w:rPr>
      </w:pPr>
    </w:p>
    <w:p>
      <w:pPr>
        <w:spacing w:after="0" w:line="28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10.4 years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14.0 years</w:t>
      </w:r>
    </w:p>
    <w:p>
      <w:pPr>
        <w:spacing w:after="0" w:line="200" w:lineRule="exact"/>
        <w:rPr>
          <w:sz w:val="20"/>
          <w:szCs w:val="20"/>
          <w:color w:val="auto"/>
        </w:rPr>
      </w:pPr>
    </w:p>
    <w:p>
      <w:pPr>
        <w:spacing w:after="0" w:line="28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36" w:lineRule="auto"/>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p>
      <w:pPr>
        <w:sectPr>
          <w:pgSz w:w="11900" w:h="16838" w:orient="portrait"/>
          <w:cols w:equalWidth="0" w:num="2">
            <w:col w:w="9280" w:space="160"/>
            <w:col w:w="19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450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2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Non-cash items: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New operating leases</w:t>
            </w:r>
          </w:p>
        </w:tc>
        <w:tc>
          <w:tcPr>
            <w:tcW w:w="4500" w:type="dxa"/>
            <w:vAlign w:val="bottom"/>
            <w:gridSpan w:val="3"/>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20"/>
              <w:spacing w:after="0"/>
              <w:rPr>
                <w:sz w:val="20"/>
                <w:szCs w:val="20"/>
                <w:color w:val="auto"/>
              </w:rPr>
            </w:pPr>
            <w:r>
              <w:rPr>
                <w:rFonts w:ascii="Arial" w:cs="Arial" w:eastAsia="Arial" w:hAnsi="Arial"/>
                <w:sz w:val="18"/>
                <w:szCs w:val="18"/>
                <w:color w:val="auto"/>
              </w:rPr>
              <w:t>New finance leases</w:t>
            </w: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240" w:type="dxa"/>
            <w:vAlign w:val="bottom"/>
          </w:tcPr>
          <w:p>
            <w:pPr>
              <w:jc w:val="right"/>
              <w:ind w:right="269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September 30, 2019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8"/>
              </w:rPr>
              <w:t>Operating Leases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6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6,258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24,159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22,135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19,650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17,462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99,334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188,998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8"/>
                <w:szCs w:val="18"/>
                <w:color w:val="auto"/>
              </w:rPr>
              <w:t>(76,633)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112,365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9220" w:type="dxa"/>
            <w:vAlign w:val="bottom"/>
            <w:gridSpan w:val="7"/>
          </w:tcPr>
          <w:p>
            <w:pPr>
              <w:spacing w:after="0"/>
              <w:rPr>
                <w:sz w:val="20"/>
                <w:szCs w:val="20"/>
                <w:color w:val="auto"/>
              </w:rPr>
            </w:pPr>
            <w:r>
              <w:rPr>
                <w:rFonts w:ascii="Arial" w:cs="Arial" w:eastAsia="Arial" w:hAnsi="Arial"/>
                <w:sz w:val="18"/>
                <w:szCs w:val="18"/>
                <w:color w:val="auto"/>
                <w:w w:val="97"/>
              </w:rPr>
              <w:t>Future minimum rental payments under non-cancellable operating leases as of December 31, 2018</w:t>
            </w:r>
            <w:r>
              <w:rPr>
                <w:rFonts w:ascii="Arial" w:cs="Arial" w:eastAsia="Arial" w:hAnsi="Arial"/>
                <w:sz w:val="15"/>
                <w:szCs w:val="15"/>
                <w:color w:val="auto"/>
                <w:w w:val="97"/>
              </w:rPr>
              <w:t>(1)</w:t>
            </w:r>
            <w:r>
              <w:rPr>
                <w:rFonts w:ascii="Arial" w:cs="Arial" w:eastAsia="Arial" w:hAnsi="Arial"/>
                <w:sz w:val="18"/>
                <w:szCs w:val="18"/>
                <w:color w:val="auto"/>
                <w:w w:val="97"/>
              </w:rPr>
              <w:t xml:space="preserve"> were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spacing w:after="0"/>
              <w:rPr>
                <w:sz w:val="23"/>
                <w:szCs w:val="23"/>
                <w:color w:val="auto"/>
              </w:rPr>
            </w:pPr>
          </w:p>
        </w:tc>
        <w:tc>
          <w:tcPr>
            <w:tcW w:w="16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5"/>
                <w:szCs w:val="15"/>
                <w:color w:val="auto"/>
                <w:w w:val="91"/>
              </w:rPr>
              <w:t xml:space="preserve">(1) </w:t>
            </w:r>
            <w:r>
              <w:rPr>
                <w:rFonts w:ascii="Arial" w:cs="Arial" w:eastAsia="Arial" w:hAnsi="Arial"/>
                <w:sz w:val="18"/>
                <w:szCs w:val="18"/>
                <w:color w:val="auto"/>
                <w:w w:val="91"/>
              </w:rPr>
              <w:t>Prior period amounts have not been adjusted under the modified retrospective transition approach.</w:t>
            </w: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gridSpan w:val="7"/>
          </w:tcPr>
          <w:p>
            <w:pPr>
              <w:spacing w:after="0"/>
              <w:rPr>
                <w:sz w:val="20"/>
                <w:szCs w:val="20"/>
                <w:color w:val="auto"/>
              </w:rPr>
            </w:pPr>
            <w:r>
              <w:rPr>
                <w:rFonts w:ascii="Arial" w:cs="Arial" w:eastAsia="Arial" w:hAnsi="Arial"/>
                <w:sz w:val="18"/>
                <w:szCs w:val="18"/>
                <w:color w:val="auto"/>
              </w:rPr>
              <w:t>Future minimum rental payments under capital leases in effect as of December 31, 2018</w:t>
            </w:r>
            <w:r>
              <w:rPr>
                <w:rFonts w:ascii="Arial" w:cs="Arial" w:eastAsia="Arial" w:hAnsi="Arial"/>
                <w:sz w:val="15"/>
                <w:szCs w:val="15"/>
                <w:color w:val="auto"/>
              </w:rPr>
              <w:t>(1)</w:t>
            </w:r>
            <w:r>
              <w:rPr>
                <w:rFonts w:ascii="Arial" w:cs="Arial" w:eastAsia="Arial" w:hAnsi="Arial"/>
                <w:sz w:val="18"/>
                <w:szCs w:val="18"/>
                <w:color w:val="auto"/>
              </w:rPr>
              <w:t xml:space="preserve"> were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tcPr>
          <w:p>
            <w:pPr>
              <w:spacing w:after="0"/>
              <w:rPr>
                <w:sz w:val="23"/>
                <w:szCs w:val="23"/>
                <w:color w:val="auto"/>
              </w:rPr>
            </w:pPr>
          </w:p>
        </w:tc>
        <w:tc>
          <w:tcPr>
            <w:tcW w:w="16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minimum payments</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right="4120" w:firstLine="8"/>
        <w:spacing w:after="0" w:line="504" w:lineRule="auto"/>
        <w:tabs>
          <w:tab w:leader="none" w:pos="223" w:val="left"/>
        </w:tabs>
        <w:numPr>
          <w:ilvl w:val="0"/>
          <w:numId w:val="12"/>
        </w:numPr>
        <w:rPr>
          <w:rFonts w:ascii="Arial" w:cs="Arial" w:eastAsia="Arial" w:hAnsi="Arial"/>
          <w:sz w:val="15"/>
          <w:szCs w:val="15"/>
          <w:color w:val="auto"/>
        </w:rPr>
      </w:pPr>
      <w:r>
        <w:rPr>
          <w:rFonts w:ascii="Arial" w:cs="Arial" w:eastAsia="Arial" w:hAnsi="Arial"/>
          <w:sz w:val="18"/>
          <w:szCs w:val="18"/>
          <w:color w:val="auto"/>
        </w:rPr>
        <w:t>Prior period amounts have not been adjusted under the modified retrospective transition approach. Future sublease rentals as of September 30, 2019 are as follows:</w:t>
      </w: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20"/>
                <w:szCs w:val="20"/>
                <w:color w:val="auto"/>
              </w:rPr>
            </w:pPr>
            <w:r>
              <w:rPr>
                <w:rFonts w:ascii="Arial" w:cs="Arial" w:eastAsia="Arial" w:hAnsi="Arial"/>
                <w:sz w:val="14"/>
                <w:szCs w:val="14"/>
                <w:color w:val="auto"/>
              </w:rPr>
              <w:t>(Thousands)</w:t>
            </w:r>
          </w:p>
        </w:tc>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Sublease Rentals</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5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2020</w:t>
            </w:r>
          </w:p>
        </w:tc>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2022</w:t>
            </w:r>
          </w:p>
        </w:tc>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4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5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139,565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60" w:type="dxa"/>
            <w:vAlign w:val="bottom"/>
            <w:vMerge w:val="restart"/>
          </w:tcPr>
          <w:p>
            <w:pPr>
              <w:jc w:val="right"/>
              <w:ind w:right="277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32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 Asset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Bluebird Network, LLC</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On August 30, 2019, the Company closed on its operating company/property company (“OpCo-PropCo”) transaction with Macquarie Infrastructure Partners (“MIP”) to 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purchased the Bluebird fiber network and MIP purchased the Bluebird operations. In addition, Uniti sold Uniti Fiber’s Midwest operations to MIP, while Uniti retains its existing Midwest fiber network. Uniti acquired the fiber network of Bluebird for $319 million, of which $175 million was funded by Uniti in cash and $144 million from pre-paid rent received from MIP at closing. The pre-paid rent is recorded within Deferred Revenue on our Condensed Consolidated Balance Sheet.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 triple net lease. The lease is reported within the results of our Leasing segment. The Midwest operations that was sold to MIP was previously reported in our Fiber Infrastructure segment.</w:t>
      </w:r>
    </w:p>
    <w:p>
      <w:pPr>
        <w:spacing w:after="0" w:line="1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acquisition of the Bluebird network was accounted for as an asset acquisition. The following is a summary of the estimated fair values of the assets acquired: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r>
      <w:tr>
        <w:trPr>
          <w:trHeight w:val="25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141,583</w:t>
            </w:r>
          </w:p>
        </w:tc>
        <w:tc>
          <w:tcPr>
            <w:tcW w:w="120" w:type="dxa"/>
            <w:vAlign w:val="bottom"/>
            <w:shd w:val="clear" w:color="auto" w:fill="CFF0FC"/>
          </w:tcPr>
          <w:p>
            <w:pPr>
              <w:spacing w:after="0"/>
              <w:rPr>
                <w:sz w:val="21"/>
                <w:szCs w:val="2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Right of use asset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171,556</w:t>
            </w:r>
          </w:p>
        </w:tc>
        <w:tc>
          <w:tcPr>
            <w:tcW w:w="120" w:type="dxa"/>
            <w:vAlign w:val="bottom"/>
            <w:shd w:val="clear" w:color="auto" w:fill="CFF0FC"/>
          </w:tcPr>
          <w:p>
            <w:pPr>
              <w:spacing w:after="0"/>
              <w:rPr>
                <w:sz w:val="19"/>
                <w:szCs w:val="19"/>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318,990</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The right of use assets are recorded within Other Assets, net on our Condensed Consolidated Balance Sheets. Of the $171.6 million of intangible assets acquired, $128.1 million is related to rights of way with an indefinite life, while $43.5 million is related to leasehold interests and have a life of 25 years.</w:t>
      </w:r>
    </w:p>
    <w:p>
      <w:pPr>
        <w:spacing w:after="0" w:line="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Upon the sale of our Midwest operations, we recognized an approximately $2.2 million net loss, which is recorded within Other (Income) Expense on the Condensed Consolidated Statements of Income. This loss included the allocation of approximately $2.2 million of goodwill. See Note 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Ground Lease Portfolio</w:t>
      </w:r>
    </w:p>
    <w:p>
      <w:pPr>
        <w:spacing w:after="0" w:line="171"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On May 23, 2019, the Company completed the sale of substantially all of its U.S. ground lease business. During second quarter, we received cash consideration of $30.7 million resulting in a pre-tax gain of $5.0 million. We sold an additional ground lease during the third quarter, receiving cash consideration of $2.9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Latin American Tower Portfolio</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JKM Consulting Inc. (M</w:t>
      </w:r>
      <w:r>
        <w:rPr>
          <w:rFonts w:ascii="Arial" w:cs="Arial" w:eastAsia="Arial" w:hAnsi="Arial"/>
          <w:sz w:val="15"/>
          <w:szCs w:val="15"/>
          <w:i w:val="1"/>
          <w:iCs w:val="1"/>
          <w:color w:val="auto"/>
        </w:rPr>
        <w:t>2</w:t>
      </w:r>
      <w:r>
        <w:rPr>
          <w:rFonts w:ascii="Arial" w:cs="Arial" w:eastAsia="Arial" w:hAnsi="Arial"/>
          <w:sz w:val="18"/>
          <w:szCs w:val="18"/>
          <w:i w:val="1"/>
          <w:iCs w:val="1"/>
          <w:color w:val="auto"/>
        </w:rPr>
        <w:t xml:space="preserve"> Connections)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March 25, 2019, we acquired 100% of the outstanding equity of JKM Consulting Inc. d/b/a M</w:t>
      </w:r>
      <w:r>
        <w:rPr>
          <w:rFonts w:ascii="Arial" w:cs="Arial" w:eastAsia="Arial" w:hAnsi="Arial"/>
          <w:sz w:val="13"/>
          <w:szCs w:val="13"/>
          <w:color w:val="auto"/>
        </w:rPr>
        <w:t>2</w:t>
      </w:r>
      <w:r>
        <w:rPr>
          <w:rFonts w:ascii="Arial" w:cs="Arial" w:eastAsia="Arial" w:hAnsi="Arial"/>
          <w:sz w:val="16"/>
          <w:szCs w:val="16"/>
          <w:color w:val="auto"/>
        </w:rPr>
        <w:t xml:space="preserve"> Connections (“M</w:t>
      </w:r>
      <w:r>
        <w:rPr>
          <w:rFonts w:ascii="Arial" w:cs="Arial" w:eastAsia="Arial" w:hAnsi="Arial"/>
          <w:sz w:val="13"/>
          <w:szCs w:val="13"/>
          <w:color w:val="auto"/>
        </w:rPr>
        <w:t>2</w:t>
      </w:r>
      <w:r>
        <w:rPr>
          <w:rFonts w:ascii="Arial" w:cs="Arial" w:eastAsia="Arial" w:hAnsi="Arial"/>
          <w:sz w:val="16"/>
          <w:szCs w:val="16"/>
          <w:color w:val="auto"/>
        </w:rPr>
        <w:t>”) for cash consideration of $5.5 million. M</w:t>
      </w:r>
      <w:r>
        <w:rPr>
          <w:rFonts w:ascii="Arial" w:cs="Arial" w:eastAsia="Arial" w:hAnsi="Arial"/>
          <w:sz w:val="13"/>
          <w:szCs w:val="13"/>
          <w:color w:val="auto"/>
        </w:rPr>
        <w:t>2</w:t>
      </w:r>
      <w:r>
        <w:rPr>
          <w:rFonts w:ascii="Arial" w:cs="Arial" w:eastAsia="Arial" w:hAnsi="Arial"/>
          <w:sz w:val="16"/>
          <w:szCs w:val="16"/>
          <w:color w:val="auto"/>
        </w:rPr>
        <w:t xml:space="preserve"> is a dark fiber and internet access provider primarily to educational institutions in Alabama. This acquisition strengthens Uniti Fiber’s relationships with new E-Rate customers. The acquisition was recorded by allocating the costs of the assets acquired based on their estimated fair values at the acquisition date. The excess of the cost of the acquisition over the fair value of the assets acquired is recorded as goodwill of $1.7 million within our Fiber Infrastructure segment. </w:t>
      </w:r>
      <w:r>
        <w:rPr>
          <w:rFonts w:ascii="Arial" w:cs="Arial" w:eastAsia="Arial" w:hAnsi="Arial"/>
          <w:sz w:val="16"/>
          <w:szCs w:val="16"/>
          <w:u w:val="single" w:color="auto"/>
          <w:color w:val="auto"/>
        </w:rPr>
        <w:t>See Note 12</w:t>
      </w:r>
      <w:r>
        <w:rPr>
          <w:rFonts w:ascii="Arial" w:cs="Arial" w:eastAsia="Arial" w:hAnsi="Arial"/>
          <w:sz w:val="16"/>
          <w:szCs w:val="16"/>
          <w:color w:val="auto"/>
        </w:rPr>
        <w:t>. For federal income tax purposes, the transaction was treated as a taxable acquisition. Thus, all of the goodwill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-23495</wp:posOffset>
            </wp:positionV>
            <wp:extent cx="5588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ind w:right="120"/>
        <w:spacing w:after="0" w:line="262" w:lineRule="auto"/>
        <w:rPr>
          <w:sz w:val="20"/>
          <w:szCs w:val="20"/>
          <w:color w:val="auto"/>
        </w:rPr>
      </w:pPr>
      <w:r>
        <w:rPr>
          <w:rFonts w:ascii="Arial" w:cs="Arial" w:eastAsia="Arial" w:hAnsi="Arial"/>
          <w:sz w:val="18"/>
          <w:szCs w:val="18"/>
          <w:color w:val="auto"/>
        </w:rPr>
        <w:t>expected to be deductible for tax purposes. The financial results of M</w:t>
      </w:r>
      <w:r>
        <w:rPr>
          <w:rFonts w:ascii="Arial" w:cs="Arial" w:eastAsia="Arial" w:hAnsi="Arial"/>
          <w:sz w:val="15"/>
          <w:szCs w:val="15"/>
          <w:color w:val="auto"/>
        </w:rPr>
        <w:t>2</w:t>
      </w:r>
      <w:r>
        <w:rPr>
          <w:rFonts w:ascii="Arial" w:cs="Arial" w:eastAsia="Arial" w:hAnsi="Arial"/>
          <w:sz w:val="18"/>
          <w:szCs w:val="18"/>
          <w:color w:val="auto"/>
        </w:rPr>
        <w:t xml:space="preserve"> are included in the Fiber Infrastructure segment from the date of acquisition and were not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material, individually or in the aggregate, to our results of operations and therefore, pro forma financial information has not been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Transport Solutions, Inc.</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On October 19, 2018, we acquired 100% of the outstanding equity of Information Transport Solutions, Inc. (“ITS”) for cash consideration of $58.3 million. ITS is a full-service managed services provider of technology solutions, primarily to educational institutions in Alabama and Florida. This acquisition expands Uniti Fiber’s product offerings and strengthens relationships with new and existing E-Rate customers.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r>
        <w:rPr>
          <w:rFonts w:ascii="Arial" w:cs="Arial" w:eastAsia="Arial" w:hAnsi="Arial"/>
          <w:sz w:val="18"/>
          <w:szCs w:val="18"/>
          <w:u w:val="single" w:color="auto"/>
          <w:color w:val="auto"/>
        </w:rPr>
        <w:t>See Note 12</w:t>
      </w:r>
      <w:r>
        <w:rPr>
          <w:rFonts w:ascii="Arial" w:cs="Arial" w:eastAsia="Arial" w:hAnsi="Arial"/>
          <w:sz w:val="18"/>
          <w:szCs w:val="18"/>
          <w:color w:val="auto"/>
        </w:rPr>
        <w:t>. During the first quarter of 2019, certain contractual working capital adjustments resulted in a $1.3 million reduction of the purchase price and goodwill. The following is a summary of the estimated fair values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-307340</wp:posOffset>
            </wp:positionV>
            <wp:extent cx="5588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r>
      <w:tr>
        <w:trPr>
          <w:trHeight w:val="25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7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w:t>
            </w:r>
          </w:p>
        </w:tc>
        <w:tc>
          <w:tcPr>
            <w:tcW w:w="120" w:type="dxa"/>
            <w:vAlign w:val="bottom"/>
            <w:shd w:val="clear" w:color="auto" w:fill="CFF0FC"/>
          </w:tcPr>
          <w:p>
            <w:pPr>
              <w:spacing w:after="0"/>
              <w:rPr>
                <w:sz w:val="21"/>
                <w:szCs w:val="2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5,931</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120" w:type="dxa"/>
            <w:vAlign w:val="bottom"/>
            <w:shd w:val="clear" w:color="auto" w:fill="CFF0FC"/>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7,238</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120" w:type="dxa"/>
            <w:vAlign w:val="bottom"/>
            <w:shd w:val="clear" w:color="auto" w:fill="CFF0FC"/>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30,254</w:t>
            </w:r>
          </w:p>
        </w:tc>
        <w:tc>
          <w:tcPr>
            <w:tcW w:w="120" w:type="dxa"/>
            <w:vAlign w:val="bottom"/>
          </w:tcPr>
          <w:p>
            <w:pPr>
              <w:spacing w:after="0"/>
              <w:rPr>
                <w:sz w:val="19"/>
                <w:szCs w:val="19"/>
                <w:color w:val="auto"/>
              </w:rPr>
            </w:pPr>
          </w:p>
        </w:tc>
      </w:tr>
      <w:tr>
        <w:trPr>
          <w:trHeight w:val="230"/>
        </w:trPr>
        <w:tc>
          <w:tcPr>
            <w:tcW w:w="86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(2,645)</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r>
      <w:tr>
        <w:trPr>
          <w:trHeight w:val="223"/>
        </w:trPr>
        <w:tc>
          <w:tcPr>
            <w:tcW w:w="8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consideration</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goodwill arising from the transaction is primarily attributable to strategic opportunities that arose from the acquisition of ITS, including strengthening relationships with new and existing E-Rate customers and anticipated incremental sales and cost savings. For federal income tax purposes, the transaction was treated as a taxable acquisition. Thus, all of the goodwill is expected to be deductible for tax purposes.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acquired an intangible asset that was assigned to customer relationships of $30.3 million (14 year life). The Company determined the useful life for the customer relationship by applying an income approach (using the multi-period excess earnings method with a discount rate commensurate to the risk of the asset) and resulted from two key considerations: attrition rate and cumulative present value of cash flows, including assessing the period over which the asset is expected to contribute to the Company’s future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96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September 30, 2019 and December 31, 2018:</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Quoted Prices 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6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At September 30, 2019</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1,998,748</w:t>
            </w: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8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1,998,748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532,125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532,125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999,000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999,000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520,500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520,500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Exchangeable senior notes - 4.00%, due June 15, 2024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303,169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303,169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574,961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574,961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Derivative liability</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27,761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27,761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11,440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4,967,704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4,956,264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restart"/>
          </w:tcPr>
          <w:p>
            <w:pPr>
              <w:jc w:val="center"/>
              <w:ind w:right="44"/>
              <w:spacing w:after="0"/>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Prices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ind w:right="24"/>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71"/>
        </w:trPr>
        <w:tc>
          <w:tcPr>
            <w:tcW w:w="6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2018</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Derivative asset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4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term loan B - variable rate, due October 24, 2022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1,877,303</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ind w:right="4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1,877,303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secured notes - 6.00%, due April 15, 2023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504,625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504,625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965,700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965,700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tcPr>
          <w:p>
            <w:pPr>
              <w:ind w:left="120"/>
              <w:spacing w:after="0"/>
              <w:rPr>
                <w:sz w:val="20"/>
                <w:szCs w:val="20"/>
                <w:color w:val="auto"/>
              </w:rPr>
            </w:pPr>
            <w:r>
              <w:rPr>
                <w:rFonts w:ascii="Arial" w:cs="Arial" w:eastAsia="Arial" w:hAnsi="Arial"/>
                <w:sz w:val="18"/>
                <w:szCs w:val="18"/>
                <w:color w:val="auto"/>
              </w:rPr>
              <w:t>Senior unsecured notes - 7.125%, due December 15, 2024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496,500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Senior secured revolving credit facility, variable rate, due April 24, 2020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639,936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Contingent consideration</w:t>
            </w:r>
          </w:p>
        </w:tc>
        <w:tc>
          <w:tcPr>
            <w:tcW w:w="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4,567,465</w:t>
            </w:r>
          </w:p>
        </w:tc>
        <w:tc>
          <w:tcPr>
            <w:tcW w:w="1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gridSpan w:val="3"/>
            <w:shd w:val="clear" w:color="auto" w:fill="CFF0FC"/>
          </w:tcPr>
          <w:p>
            <w:pPr>
              <w:jc w:val="right"/>
              <w:ind w:right="44"/>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4,484,064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total principal balance of our outstanding notes and other debt was $5.23 billion at September 30, 2019, with a fair value of $4.97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8. The</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and liabilities fall within Level 2 of the fair value hierarchy; however, the associated credit valuation adjustments utilized Level 3 inputs, such as estimates of credit spreads, to evaluate the likelihood of default by the Company and its counterparties. As of September 30, 2019, the Company has assessed the significance of the impact of the credit valuation adjustments on the overall valuation of its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derivative positions and has determined that the credit valuation adjustment is not significant to the overall value of the derivatives. As such, the Company classifies its derivative assets and liabilities valuation in Level 2 of the fair value hierarchy.</w:t>
      </w:r>
    </w:p>
    <w:p>
      <w:pPr>
        <w:spacing w:after="0" w:line="170" w:lineRule="exact"/>
        <w:rPr>
          <w:sz w:val="20"/>
          <w:szCs w:val="20"/>
          <w:color w:val="auto"/>
        </w:rPr>
      </w:pPr>
    </w:p>
    <w:p>
      <w:pPr>
        <w:ind w:right="220"/>
        <w:spacing w:after="0" w:line="312"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30">
        <w:r>
          <w:rPr>
            <w:rFonts w:ascii="Arial" w:cs="Arial" w:eastAsia="Arial" w:hAnsi="Arial"/>
            <w:sz w:val="16"/>
            <w:szCs w:val="16"/>
            <w:u w:val="single" w:color="auto"/>
            <w:color w:val="0000EE"/>
          </w:rPr>
          <w:t>see Note 10</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merger agreement related to the July 3, 2017 acquisition of Hunt Telecommunications, LLC (“Hunt”) contained a contingent consideration arrangement (the “Hunt Contingent Consideration”) upon the achievement of certain defined revenue milestones. The fair value of the Hunt Contingent Consideration was determined using the closing price of our common shares in the active market and probability of expected declared dividends and is classified as Level 3. On January 4, 2019, in accordance with the merger agreement, we settled the Hunt Contingent Consideration in full satisfaction of the obligation through the issuance of 645,385 common shares having a fair value of $11.2 million.</w:t>
      </w:r>
    </w:p>
    <w:p>
      <w:pPr>
        <w:spacing w:after="0" w:line="18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acquired Tower Cloud, Inc. (“Tower Cloud”) on August 31, 2016. As part of the Tower Cloud acquisition,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$11.4 million as of September 30, 2019. The fair value of the contingent consideration as of September 30, 2019, was determined using a discounted cash flow model and probability adjusted estimates of the future operational milestones and is classified as Level 3. During the nine months ended September 30, 2019 and 2018, we paid $32.2 million and $18.6 million, respectively, for the achievement of certain milestones in accordance with the Tower Cloud merger agreement.</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Changes in the fair value of contingent consideration arrangements are recorded in our Condensed Consolidated Statement of Income in the period in which the change occurs. For the three and nine months ended September 30, 2019, there was a $3.0 million and $28.5 million, respectively, decrease in the fair value of the contingent consideration that was recorded in Other (income) expense on the Condensed Consolidated Statements of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Transfers into Level 3</w:t>
            </w:r>
          </w:p>
        </w:tc>
        <w:tc>
          <w:tcPr>
            <w:tcW w:w="240" w:type="dxa"/>
            <w:vAlign w:val="bottom"/>
          </w:tcPr>
          <w:p>
            <w:pPr>
              <w:spacing w:after="0"/>
              <w:rPr>
                <w:sz w:val="14"/>
                <w:szCs w:val="14"/>
                <w:color w:val="auto"/>
              </w:rPr>
            </w:pP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 included in</w:t>
            </w:r>
          </w:p>
        </w:tc>
        <w:tc>
          <w:tcPr>
            <w:tcW w:w="22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Settlements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83,401</w:t>
            </w:r>
          </w:p>
        </w:tc>
        <w:tc>
          <w:tcPr>
            <w:tcW w:w="2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(43,431)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7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Depreciable Lives</w:t>
            </w:r>
          </w:p>
        </w:tc>
        <w:tc>
          <w:tcPr>
            <w:tcW w:w="240" w:type="dxa"/>
            <w:vAlign w:val="bottom"/>
          </w:tcPr>
          <w:p>
            <w:pPr>
              <w:spacing w:after="0"/>
              <w:rPr>
                <w:sz w:val="14"/>
                <w:szCs w:val="14"/>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3 - 40 years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354,726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340,238</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34,878</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Poles</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30 years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257,116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248,989</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30 years</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3,364,288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3,005,304</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5 - 7 years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280,781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256,838</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20 years</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3,774,931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3,721,649</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30 years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89,770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89,692</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20 years</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120,073</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Capital lease assets</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129,712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123,017</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15 - 20 years</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11,524</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3 - 7 years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137,585</w:t>
            </w:r>
          </w:p>
        </w:tc>
        <w:tc>
          <w:tcPr>
            <w:tcW w:w="120" w:type="dxa"/>
            <w:vAlign w:val="bottom"/>
            <w:shd w:val="clear" w:color="auto" w:fill="CFF0FC"/>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8,559,362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8,123,305</w:t>
            </w:r>
          </w:p>
        </w:tc>
        <w:tc>
          <w:tcPr>
            <w:tcW w:w="12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(5,188,211)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(4,914,299)</w:t>
            </w:r>
          </w:p>
        </w:tc>
      </w:tr>
      <w:tr>
        <w:trPr>
          <w:trHeight w:val="224"/>
        </w:trPr>
        <w:tc>
          <w:tcPr>
            <w:tcW w:w="520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3,371,151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3,209,006</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0</wp:posOffset>
            </wp:positionV>
            <wp:extent cx="27444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4470" cy="2603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2019 was $94.9 million and $288.9 million, respectively. Depreciation expense for the three and nine months ended September 30, 2018 was $106.5 million and $323.4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$2.05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Location on Condensed Consolidated</w:t>
            </w:r>
          </w:p>
        </w:tc>
        <w:tc>
          <w:tcPr>
            <w:tcW w:w="180" w:type="dxa"/>
            <w:vAlign w:val="bottom"/>
          </w:tcPr>
          <w:p>
            <w:pPr>
              <w:spacing w:after="0"/>
              <w:rPr>
                <w:sz w:val="14"/>
                <w:szCs w:val="14"/>
                <w:color w:val="auto"/>
              </w:rPr>
            </w:pPr>
          </w:p>
        </w:tc>
        <w:tc>
          <w:tcPr>
            <w:tcW w:w="15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6"/>
              </w:rPr>
              <w:t>September 30, 2019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47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Balance Sheets</w:t>
            </w:r>
          </w:p>
        </w:tc>
        <w:tc>
          <w:tcPr>
            <w:tcW w:w="1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CFF0FC"/>
            </w:tcBorders>
            <w:shd w:val="clear" w:color="auto" w:fill="CFF0FC"/>
          </w:tcPr>
          <w:p>
            <w:pPr>
              <w:spacing w:after="0"/>
              <w:rPr>
                <w:sz w:val="19"/>
                <w:szCs w:val="19"/>
                <w:color w:val="auto"/>
              </w:rPr>
            </w:pP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Derivative asset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27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Derivative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27,761</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September 30, 2019, all of the interest rate swaps were valued in net unrealized loss positions and recognized as liability balances within the derivative liability balance. As of December 31, 2018, all of the interest rate swaps were valued in net unrealized gain positions and recognized as asset balances within the derivative asset balance. For the three and nine months ended September 30, 2019, the amount recorded in other comprehensive income related to the unrealized loss on derivative instruments was $7.9 million and $54.0 million, respectively. For the three and nine months ended September 30, 2018, the amount recorded in other comprehensive income related to the unrealized gain on derivative instruments was $7.6 million and $54.0 million, respectively. The amount reclassified out of other comprehensive income into interest expense on our Condensed Consolidated Statement of Income for the three and nine months ended September 30, 2019, was a benefit of $0.7 million and $4.7 million, respectively. The amount reclassified out of other comprehensive income into interest expense on our Condensed Consolidated Statement of Income for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three and nine months ended September 30, 2018, was $0.1 million and $3.7 million, respectively. For the three and nine months ended September 30, 2019 and 2018, there was no ineffective portion of the change in fair value derivatives.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Amounts reported in accumulated other comprehensive income (loss) related to derivatives will be reclassified to interest expense as interest payments are made on our variable-rate debt. During the next twelve months, beginning October 1, 2019, we estimate that $3.0 million will be reclassified as a benefit to 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June 25, 2019, concurrently with the pricing of the Exchangeable Notes (</w:t>
      </w:r>
      <w:r>
        <w:rPr>
          <w:rFonts w:ascii="Arial" w:cs="Arial" w:eastAsia="Arial" w:hAnsi="Arial"/>
          <w:sz w:val="17"/>
          <w:szCs w:val="17"/>
          <w:u w:val="single" w:color="auto"/>
          <w:color w:val="auto"/>
        </w:rPr>
        <w:t>see Note 10</w:t>
      </w:r>
      <w:r>
        <w:rPr>
          <w:rFonts w:ascii="Arial" w:cs="Arial" w:eastAsia="Arial" w:hAnsi="Arial"/>
          <w:sz w:val="17"/>
          <w:szCs w:val="17"/>
          <w:color w:val="auto"/>
        </w:rPr>
        <w:t>),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-1409065</wp:posOffset>
            </wp:positionV>
            <wp:extent cx="53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Condensed Consolidated Balance Sheets, are not accounted for as derivatives that are remeasured each reporting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6"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Condensed Consolidated Balance Sheets, are not accounted for as derivatives that are remeasured each reporting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nine months ended September 30, 2019,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580" w:type="dxa"/>
            <w:vAlign w:val="bottom"/>
          </w:tcPr>
          <w:p>
            <w:pPr>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Fiber Infrastructure</w:t>
            </w:r>
          </w:p>
        </w:tc>
        <w:tc>
          <w:tcPr>
            <w:tcW w:w="600" w:type="dxa"/>
            <w:vAlign w:val="bottom"/>
          </w:tcPr>
          <w:p>
            <w:pPr>
              <w:spacing w:after="0"/>
              <w:rPr>
                <w:sz w:val="18"/>
                <w:szCs w:val="18"/>
                <w:color w:val="auto"/>
              </w:rPr>
            </w:pPr>
          </w:p>
        </w:tc>
        <w:tc>
          <w:tcPr>
            <w:tcW w:w="204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2018</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3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Goodwill purchase accounting adjustments - See Note 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gridSpan w:val="2"/>
          </w:tcPr>
          <w:p>
            <w:pPr>
              <w:jc w:val="right"/>
              <w:ind w:right="320"/>
              <w:spacing w:after="0"/>
              <w:rPr>
                <w:sz w:val="20"/>
                <w:szCs w:val="20"/>
                <w:color w:val="auto"/>
              </w:rPr>
            </w:pPr>
            <w:r>
              <w:rPr>
                <w:rFonts w:ascii="Arial" w:cs="Arial" w:eastAsia="Arial" w:hAnsi="Arial"/>
                <w:sz w:val="18"/>
                <w:szCs w:val="18"/>
                <w:color w:val="auto"/>
              </w:rPr>
              <w:t>(1,269)</w:t>
            </w:r>
          </w:p>
        </w:tc>
        <w:tc>
          <w:tcPr>
            <w:tcW w:w="60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(1,269)</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 associated with 2019 acquisitions and dispositions, net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(444)</w:t>
            </w:r>
          </w:p>
        </w:tc>
        <w:tc>
          <w:tcPr>
            <w:tcW w:w="60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(444)</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Goodwill at September 30, 2019</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In connection with the sale of our Uniti Fiber Midwest operations to MIP in the third quarter of 2019 (See Note 5), we allocated approximately $2.2 million of goodwill to the carrying value of the business being sold. This allocation was done using the relative fair value approach as prescribed by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intangible assets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September 30, 2019</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December 31, 2018</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Original</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Cumulative</w:t>
            </w: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vMerge w:val="restart"/>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Original</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Cumulative</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Trade name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Rights of Way</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Finite life intangible assets:</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Customer lists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450,597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(87,500)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451,997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(69,393)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Leasehold Interest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Tenant contracts</w:t>
            </w:r>
            <w:r>
              <w:rPr>
                <w:rFonts w:ascii="Arial" w:cs="Arial" w:eastAsia="Arial" w:hAnsi="Arial"/>
                <w:sz w:val="15"/>
                <w:szCs w:val="15"/>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37,386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Network</w:t>
            </w:r>
            <w:r>
              <w:rPr>
                <w:rFonts w:ascii="Arial" w:cs="Arial" w:eastAsia="Arial" w:hAnsi="Arial"/>
                <w:sz w:val="15"/>
                <w:szCs w:val="15"/>
                <w:color w:val="auto"/>
              </w:rPr>
              <w:t>(1)(3)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Acquired below-market leases</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7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624,154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506,988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(87,500)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(74,167)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assets, net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0" w:type="dxa"/>
            <w:vAlign w:val="bottom"/>
            <w:gridSpan w:val="2"/>
            <w:vMerge w:val="continue"/>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536,654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432,821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Acquired above-market leases</w:t>
            </w:r>
            <w:r>
              <w:rPr>
                <w:rFonts w:ascii="Arial" w:cs="Arial" w:eastAsia="Arial" w:hAnsi="Arial"/>
                <w:sz w:val="15"/>
                <w:szCs w:val="15"/>
                <w:color w:val="auto"/>
              </w:rPr>
              <w:t>(3)</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140" w:type="dxa"/>
            <w:vAlign w:val="bottom"/>
            <w:shd w:val="clear" w:color="auto" w:fill="CFF0FC"/>
          </w:tcPr>
          <w:p>
            <w:pPr>
              <w:spacing w:after="0"/>
              <w:rPr>
                <w:sz w:val="22"/>
                <w:szCs w:val="22"/>
                <w:color w:val="auto"/>
              </w:rPr>
            </w:pP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 intangible liabilities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Total intangible liabilities, net</w:t>
            </w:r>
            <w:r>
              <w:rPr>
                <w:rFonts w:ascii="Arial" w:cs="Arial" w:eastAsia="Arial" w:hAnsi="Arial"/>
                <w:sz w:val="15"/>
                <w:szCs w:val="15"/>
                <w:color w:val="auto"/>
              </w:rPr>
              <w:t>(2)</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00" w:type="dxa"/>
            <w:vAlign w:val="bottom"/>
            <w:gridSpan w:val="2"/>
            <w:vMerge w:val="continue"/>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right="320" w:hanging="372"/>
        <w:spacing w:after="0" w:line="25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in accounts payable, accrued expenses and other liabilities on the Condensed Consolidated Balance Sheet.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Uniti Towers’ Latin American intangible assets were sold on April 2, 2019. </w:t>
      </w:r>
      <w:hyperlink w:anchor="page23">
        <w:r>
          <w:rPr>
            <w:rFonts w:ascii="Arial" w:cs="Arial" w:eastAsia="Arial" w:hAnsi="Arial"/>
            <w:sz w:val="18"/>
            <w:szCs w:val="18"/>
            <w:u w:val="single" w:color="auto"/>
            <w:color w:val="0000EE"/>
          </w:rPr>
          <w:t>See Note 5.</w:t>
        </w:r>
      </w:hyperlink>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2019, the remaining weighted average amortization period of the Company’s intangible assets was 18.3 years. Amortization expense for the three and nine months ended September 30, 2019 was $6.3 million and $18.6 million, respectively. Amortization expense for the three and nine months ended September 30, 2018 was $6.3 million and $19.0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Amortization expense is estimated to be $26.0 million for the full year of 2019, $25.5 million in 2020, $24.7 million in 2021, $24.6 million in 2022, and $24.6 million for 2023.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September 30, 2019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5,230,017</w:t>
            </w:r>
          </w:p>
        </w:tc>
        <w:tc>
          <w:tcPr>
            <w:tcW w:w="28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4,965,808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34"/>
              <w:spacing w:after="0"/>
              <w:rPr>
                <w:sz w:val="20"/>
                <w:szCs w:val="20"/>
                <w:color w:val="auto"/>
              </w:rPr>
            </w:pPr>
            <w:r>
              <w:rPr>
                <w:rFonts w:ascii="Arial" w:cs="Arial" w:eastAsia="Arial" w:hAnsi="Arial"/>
                <w:sz w:val="18"/>
                <w:szCs w:val="18"/>
                <w:color w:val="auto"/>
                <w:w w:val="90"/>
              </w:rPr>
              <w:t>(219,730)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(119,575)</w:t>
            </w:r>
          </w:p>
        </w:tc>
        <w:tc>
          <w:tcPr>
            <w:tcW w:w="0" w:type="dxa"/>
            <w:vAlign w:val="bottom"/>
          </w:tcPr>
          <w:p>
            <w:pPr>
              <w:spacing w:after="0"/>
              <w:rPr>
                <w:sz w:val="1"/>
                <w:szCs w:val="1"/>
                <w:color w:val="auto"/>
              </w:rPr>
            </w:pPr>
          </w:p>
        </w:tc>
      </w:tr>
      <w:tr>
        <w:trPr>
          <w:trHeight w:val="237"/>
        </w:trPr>
        <w:tc>
          <w:tcPr>
            <w:tcW w:w="674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5,010,287</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4,846,233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gridSpan w:val="6"/>
            <w:vMerge w:val="restart"/>
          </w:tcPr>
          <w:p>
            <w:pPr>
              <w:spacing w:after="0"/>
              <w:rPr>
                <w:sz w:val="20"/>
                <w:szCs w:val="20"/>
                <w:color w:val="auto"/>
              </w:rPr>
            </w:pPr>
            <w:r>
              <w:rPr>
                <w:rFonts w:ascii="Arial" w:cs="Arial" w:eastAsia="Arial" w:hAnsi="Arial"/>
                <w:sz w:val="18"/>
                <w:szCs w:val="18"/>
                <w:color w:val="auto"/>
                <w:w w:val="91"/>
              </w:rPr>
              <w:t>Notes and other debt at September 30, 2019 and December 31, 2018 consisted of the following:</w:t>
            </w: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000" w:type="dxa"/>
            <w:vAlign w:val="bottom"/>
            <w:gridSpan w:val="6"/>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199"/>
              <w:spacing w:after="0" w:line="133" w:lineRule="exact"/>
              <w:rPr>
                <w:sz w:val="20"/>
                <w:szCs w:val="20"/>
                <w:color w:val="auto"/>
              </w:rPr>
            </w:pPr>
            <w:r>
              <w:rPr>
                <w:rFonts w:ascii="Arial" w:cs="Arial" w:eastAsia="Arial" w:hAnsi="Arial"/>
                <w:sz w:val="14"/>
                <w:szCs w:val="14"/>
                <w:b w:val="1"/>
                <w:bCs w:val="1"/>
                <w:color w:val="auto"/>
                <w:w w:val="94"/>
              </w:rPr>
              <w:t>Unamortized</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34"/>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Discount, Premium</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Discount, Premium</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6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100" w:type="dxa"/>
            <w:vAlign w:val="bottom"/>
          </w:tcPr>
          <w:p>
            <w:pPr>
              <w:spacing w:after="0"/>
              <w:rPr>
                <w:sz w:val="12"/>
                <w:szCs w:val="12"/>
                <w:color w:val="auto"/>
              </w:rPr>
            </w:pPr>
          </w:p>
        </w:tc>
        <w:tc>
          <w:tcPr>
            <w:tcW w:w="126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Debt Issuance</w:t>
            </w:r>
          </w:p>
        </w:tc>
        <w:tc>
          <w:tcPr>
            <w:tcW w:w="0" w:type="dxa"/>
            <w:vAlign w:val="bottom"/>
          </w:tcPr>
          <w:p>
            <w:pPr>
              <w:spacing w:after="0"/>
              <w:rPr>
                <w:sz w:val="1"/>
                <w:szCs w:val="1"/>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Senior secured term loan B - variable rate, due October 24, 2022</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7.45%)</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2,049,998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(80,528)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2,065,808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(70,337)</w:t>
            </w: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550,000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(30,383)</w:t>
            </w:r>
          </w:p>
        </w:tc>
        <w:tc>
          <w:tcPr>
            <w:tcW w:w="100" w:type="dxa"/>
            <w:vAlign w:val="bottom"/>
            <w:shd w:val="clear" w:color="auto" w:fill="CFF0FC"/>
          </w:tcPr>
          <w:p>
            <w:pPr>
              <w:spacing w:after="0"/>
              <w:rPr>
                <w:sz w:val="20"/>
                <w:szCs w:val="20"/>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(34,900)</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600,000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5"/>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11.1%)</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(88,957)</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Senior secured revolving credit facility, variable rate, due April 24,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5,230,017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(219,730)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4,965,808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(119,575)</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September 30, 2019, notes and other debt included the following: (i) $2.05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(v) $345 million aggregate principal amount of 4.00% Exchangeable Senior Notes due June 15, 2024 (the “Exchangeable Notes”) and (vi) $575 million under the senior secured revolving credit facility, variable rate, that matures April 24, 2022 pursuant to the Credit Agreement (the “Revolving Credit Facility” and, together with the Term Loan Facility, the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Operating Partnership and its wholly 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5.00% and are subject to amortization of 1.0% per annum. All obligations under the Credit Agreement 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guaranteed by (i) the Company and (ii) certain of the Operating Partnership’s wholly owned subsidiaries (the “Subsidiary Guarantors”) and are secured by substantially all of the assets of the Borrowers and the Subsidiary Guarantors, which assets also secure the Secured Notes. The Revolving Credit Facility initially bore interest at a rate equal to LIBOR plus 1.75% to 2.25% based on our consolidated secured leverage ratio, as defined in the Credit Agreement subject to changes resulting from the Fifth Amendment discussed below.</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September 30, 2019, the Borrowers were in compliance with all of the covenants under the Credit Agreement.</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or at such earlier time when certain other conditions are specified, the Fourth Amendment generally limits our ability under the Credit Agreement to (i) prepay unsecured indebtedness and (ii) pay cash dividends in excess of 90% of our REIT taxable income, determined without regard to the dividends paid deduction and excluding any net capital gains. The Fourth Amendment also increased the interest rate on our Term Loan Facility, which now bears a rate of LIBOR, subject to a 1.0% floor, plus an applicable margin equal to 5.0%, a 200 basis point increase over our previous rate. This increase will remain in effect through the remaining term of the facility, which matures on October 24, 2022. The limited waiver would not apply to any going concern opinion we might receive from our auditors for our 2019 audited financial statements. If we conclude that we have substantial doubt as to our ability to continue as a going concern at such time, whether as a result of continued uncertainty around Windstream’s future and the status of our Master Lease or otherwise, we would be in default under our Credit Agreement absent a new waiver or consent. We can provide no assurances as to whether we would be able to obtain a waiver or the terms thereof.</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 termination of the Master Lease would result in an “event of default” under the Credit Agreement if a replacement lease was not entered into within ninety</w:t>
      </w:r>
    </w:p>
    <w:p>
      <w:pPr>
        <w:spacing w:after="0" w:line="46" w:lineRule="exact"/>
        <w:rPr>
          <w:sz w:val="20"/>
          <w:szCs w:val="20"/>
          <w:color w:val="auto"/>
        </w:rPr>
      </w:pPr>
    </w:p>
    <w:p>
      <w:pPr>
        <w:ind w:right="220" w:firstLine="8"/>
        <w:spacing w:after="0" w:line="261"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Operating Partnership and its wholly 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Effective July 8, 2019, Deutsche Bank Trust Company Americas succeeded as trustee and collateral agent, as applicable, to the Notes pursuant to a Tri-Party Agreement dated as of June 26, 2019 among Deutsche Bank Trust Company, Wells Fargo Bank, N.A. and the co-issuers of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June 28, 2019, Uniti Fiber, a subsidiary of the Company, issued $345 million aggregate principal amount of the Exchangeable Notes. The Exchangeable Notes are senior unsecured notes and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Uniti Fiber issued the Exchangeable Notes pursuant to an indenture, dated as of June 28, 2019 (the “Indenture”), among Uniti Fiber, the Company, the other guarantors party thereto and Deutsche Bank Trust Company Americas, as trustee. Prior to the close of business on the business day immediately preceding March 15, 2024, the Exchangeable Notes are exchangeable only upon satisfaction of certain conditions and during certain periods described in the Indenture, and thereafter, the Exchangeable Notes are exchangeable at any time until the close of business on the second scheduled trading day immediately preceding the maturity date. The Exchangeable Notes are exchangeable on the terms set forth in the Indenture into cash, shares of the Company’s common stock, or a combination thereof, at Uniti Fiber’s election, subject to limitations under the Company's Credit Agreement. The exchange rate is initially 80.4602 shares of the Company’s common stock per $1,000 principal amount of Exchangeable Notes (equivalent to an initial exchange price of approximately $12.43 per share of the Company’s common stock). The exchange rate is subject to adjustment in some circumstances as described in the Indenture. In addition, following certain corporate events that occur prior to the maturity date or Uniti Fiber’s delivery of a notice of redemption, Uniti Fiber will increase, in certain circumstances, the exchange rate for a holder who elects to exchange its Exchangeable Notes in connection with such corporate event or notice of redemption, as the case may be.</w:t>
      </w:r>
    </w:p>
    <w:p>
      <w:pPr>
        <w:spacing w:after="0" w:line="18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Uniti Fiber or the Company undergoes a fundamental change (as defined in the Indenture), subject to certain conditions, holders may require Uniti Fiber to repurchase for cash all or part of their Exchangeable Notes at a repurchase price equal to 100% of the principal amount of the Exchangeable Notes to be repurchased, plus accrued and unpaid interest, if any, to, but not including, the fundamental change repurchase date.</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Uniti Fiber may redeem all or a portion of the Exchangeable Notes, at any time, at a cash redemption price equal to 100% of the principal amount of the Exchangeable Notes to be redeemed, plus accrued and unpaid interest to, but not including, the redemption date, if the Company’s board of directors determines such redemption is necessary to preserve the Company's status as a real estate investment trust for U.S. federal income tax purposes. Uniti Fiber may not otherwise redeem the Exchangeable Notes prior to June 20, 2022. On or after June 20, 2022 and prior to the 42nd scheduled trading day immediately preceding the maturity date, if the last reported sale price per share of the Company’s common stock has been at least 130% of the exchange price for the Exchangeable Notes for certain specified periods, Uniti Fiber may redeem all or a portion of the Exchangeable Notes at a cash redemption price equal to 100% of the principal amount of the Exchangeable Notes to be redeemed plus accrued and unpaid interest to, but not including, the redemption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June 28, 2019, Uniti Fiber, the Company and Barclays Capital Inc., on behalf of the initial purchasers involved in the offering of the Exchangeable Notes (the “Initial Purchasers”), entered into a registration rights agreement with respect to the Company’s common stock deliverable upon exchange of the Exchangeable Notes (the “Registration Rights Agreement”). Under the Registration Rights Agreement, the Company has agreed to file a shelf registration statement to register the resale of the common stock of the Company deliverable upon exchange of the Exchangeable Notes. The Company has agreed to use its commercially reasonable efforts to cause such shelf registration statement to become effective on or prior to the 365th day after the issue date of the Exchangeable Notes.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Condensed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and nine months ended September 30, 2019, we recognized $4.3 million and $11.8 million, respectively, of non-cash interest expense related to the amortization of deferred financing costs. For the three and nine months ended September 30, 2018, we recognized $3.7 million and $11.0 million, respectively, of non-cash interest expense related to the amortization of deferred financing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second quarter of 2019, the earnings-per-share impact of the Company’s 3% Convertible Preferred Stock, $0.0001 par value (“Series A Shares”),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shares. During the second quarter of 2019, the Company received notice from the holder of the Series A Shares of its election to convert all its shares, and the Company made an election to issue shares upon conversion, which occurred on July 2, 2019. As a result, the earnings-per-share impact for the three and nine months ended September 30, 2019, is calculated based on the shares outstanding from the issuance date through September 30, 2019.</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dilutive effect of the Exchangeable Notes (</w:t>
      </w:r>
      <w:r>
        <w:rPr>
          <w:rFonts w:ascii="Arial" w:cs="Arial" w:eastAsia="Arial" w:hAnsi="Arial"/>
          <w:sz w:val="17"/>
          <w:szCs w:val="17"/>
          <w:u w:val="single" w:color="auto"/>
          <w:color w:val="0000EE"/>
        </w:rPr>
        <w:t>see Note 10</w:t>
      </w:r>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Arial" w:cs="Arial" w:eastAsia="Arial" w:hAnsi="Arial"/>
          <w:sz w:val="17"/>
          <w:szCs w:val="17"/>
          <w:u w:val="single" w:color="auto"/>
          <w:color w:val="0000EE"/>
        </w:rPr>
        <w:t>see Note 8</w:t>
      </w:r>
      <w:r>
        <w:rPr>
          <w:rFonts w:ascii="Arial" w:cs="Arial" w:eastAsia="Arial" w:hAnsi="Arial"/>
          <w:sz w:val="17"/>
          <w:szCs w:val="17"/>
          <w:color w:val="auto"/>
        </w:rPr>
        <w:t>) is calculated using the treasury-stock method. During the three and nine months ended September 30, 2019, the Warrants were excluded from diluted shares outstanding because the exercise price exceeded the average market price of our common stock for the reporting period.</w:t>
      </w:r>
    </w:p>
    <w:p>
      <w:pPr>
        <w:spacing w:after="0" w:line="173"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 xml:space="preserve">The July 3, 2017 merger agreement for our acquisition of Hunt provided for the issuance of additional common shares upon the achievement of certain defined revenue milestones. </w:t>
      </w:r>
      <w:r>
        <w:rPr>
          <w:rFonts w:ascii="Arial" w:cs="Arial" w:eastAsia="Arial" w:hAnsi="Arial"/>
          <w:sz w:val="16"/>
          <w:szCs w:val="16"/>
          <w:u w:val="single" w:color="auto"/>
          <w:color w:val="0000EE"/>
        </w:rPr>
        <w:t>See Note 6</w:t>
      </w:r>
      <w:r>
        <w:rPr>
          <w:rFonts w:ascii="Arial" w:cs="Arial" w:eastAsia="Arial" w:hAnsi="Arial"/>
          <w:sz w:val="16"/>
          <w:szCs w:val="16"/>
          <w:color w:val="auto"/>
        </w:rPr>
        <w:t>. The earnings per share impact of the Hunt Contingent Consideration is calculated under the method described in ASC 260 for the treatment of contingently issuable shares in weighted-average shares outstanding. On January 4, 2019, we settled the Hunt Contingent Consideration in full satisfaction of the obligation through the issuance of 645,385 common shares having a fair value of $11.2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80" w:type="dxa"/>
            <w:vAlign w:val="bottom"/>
          </w:tcPr>
          <w:p>
            <w:pPr>
              <w:spacing w:after="0"/>
              <w:rPr>
                <w:sz w:val="14"/>
                <w:szCs w:val="14"/>
                <w:color w:val="auto"/>
              </w:rPr>
            </w:pPr>
          </w:p>
        </w:tc>
        <w:tc>
          <w:tcPr>
            <w:tcW w:w="31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4"/>
                <w:szCs w:val="14"/>
                <w:color w:val="auto"/>
              </w:rPr>
            </w:pPr>
          </w:p>
        </w:tc>
        <w:tc>
          <w:tcPr>
            <w:tcW w:w="2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800" w:type="dxa"/>
            <w:vAlign w:val="bottom"/>
            <w:gridSpan w:val="2"/>
            <w:vMerge w:val="continue"/>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(19,420)</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21,739</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2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Income allocated to participating securities on share</w:t>
            </w: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22"/>
        </w:trPr>
        <w:tc>
          <w:tcPr>
            <w:tcW w:w="4800" w:type="dxa"/>
            <w:vAlign w:val="bottom"/>
            <w:gridSpan w:val="2"/>
            <w:vMerge w:val="restart"/>
            <w:shd w:val="clear" w:color="auto" w:fill="CFF0FC"/>
          </w:tcPr>
          <w:p>
            <w:pPr>
              <w:ind w:left="620"/>
              <w:spacing w:after="0"/>
              <w:rPr>
                <w:sz w:val="20"/>
                <w:szCs w:val="20"/>
                <w:color w:val="auto"/>
              </w:rPr>
            </w:pPr>
            <w:r>
              <w:rPr>
                <w:rFonts w:ascii="Arial" w:cs="Arial" w:eastAsia="Arial" w:hAnsi="Arial"/>
                <w:sz w:val="18"/>
                <w:szCs w:val="18"/>
                <w:color w:val="auto"/>
              </w:rPr>
              <w:t>settled contingent consideration arrangements</w:t>
            </w:r>
          </w:p>
        </w:tc>
        <w:tc>
          <w:tcPr>
            <w:tcW w:w="28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3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6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5"/>
              </w:rPr>
              <w:t>Amortization of discount on convertible preferred stock</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(19,470)</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191,940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175,396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53"/>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140" w:type="dxa"/>
            <w:vAlign w:val="bottom"/>
            <w:vMerge w:val="restart"/>
          </w:tcPr>
          <w:p>
            <w:pPr>
              <w:spacing w:after="0"/>
              <w:rPr>
                <w:sz w:val="14"/>
                <w:szCs w:val="14"/>
                <w:color w:val="auto"/>
              </w:rPr>
            </w:pPr>
          </w:p>
        </w:tc>
        <w:tc>
          <w:tcPr>
            <w:tcW w:w="338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4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6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rPr>
          <w:sz w:val="20"/>
          <w:szCs w:val="20"/>
          <w:color w:val="auto"/>
        </w:rPr>
      </w:pPr>
      <w:r>
        <w:rPr>
          <w:rFonts w:ascii="Arial" w:cs="Arial" w:eastAsia="Arial" w:hAnsi="Arial"/>
          <w:sz w:val="18"/>
          <w:szCs w:val="18"/>
          <w:color w:val="auto"/>
        </w:rPr>
        <w:t>Diluted 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(loss) income attributable to shareholders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Less: Income allocated to participating securities</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allocated to participating securities on share</w:t>
      </w:r>
    </w:p>
    <w:p>
      <w:pPr>
        <w:spacing w:after="0" w:line="23" w:lineRule="exact"/>
        <w:rPr>
          <w:sz w:val="20"/>
          <w:szCs w:val="20"/>
          <w:color w:val="auto"/>
        </w:rPr>
      </w:pPr>
    </w:p>
    <w:p>
      <w:pPr>
        <w:ind w:left="620" w:right="280"/>
        <w:spacing w:after="0" w:line="265" w:lineRule="auto"/>
        <w:rPr>
          <w:sz w:val="20"/>
          <w:szCs w:val="20"/>
          <w:color w:val="auto"/>
        </w:rPr>
      </w:pPr>
      <w:r>
        <w:rPr>
          <w:rFonts w:ascii="Arial" w:cs="Arial" w:eastAsia="Arial" w:hAnsi="Arial"/>
          <w:sz w:val="18"/>
          <w:szCs w:val="18"/>
          <w:color w:val="auto"/>
        </w:rPr>
        <w:t>settled contingent consideration arrangements Dividends declared on convertible preferred stock Amortization of discount on convertible preferred stock Impact on if-converted dilutive securities</w:t>
      </w:r>
    </w:p>
    <w:p>
      <w:pPr>
        <w:spacing w:after="0" w:line="3" w:lineRule="exact"/>
        <w:rPr>
          <w:sz w:val="20"/>
          <w:szCs w:val="20"/>
          <w:color w:val="auto"/>
        </w:rPr>
      </w:pPr>
    </w:p>
    <w:p>
      <w:pPr>
        <w:ind w:left="260"/>
        <w:spacing w:after="0"/>
        <w:tabs>
          <w:tab w:leader="none" w:pos="4780" w:val="left"/>
        </w:tabs>
        <w:rPr>
          <w:sz w:val="20"/>
          <w:szCs w:val="20"/>
          <w:color w:val="auto"/>
        </w:rPr>
      </w:pPr>
      <w:r>
        <w:rPr>
          <w:rFonts w:ascii="Arial" w:cs="Arial" w:eastAsia="Arial" w:hAnsi="Arial"/>
          <w:sz w:val="18"/>
          <w:szCs w:val="18"/>
          <w:color w:val="auto"/>
        </w:rPr>
        <w:t>Net (loss) income attributable to common shares</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Basic weighted-average common shares outstanding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Effect of dilutive non-participating securities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Impact on if-converted dilutive securities</w:t>
      </w:r>
    </w:p>
    <w:p>
      <w:pPr>
        <w:spacing w:after="0" w:line="35" w:lineRule="exact"/>
        <w:rPr>
          <w:sz w:val="20"/>
          <w:szCs w:val="20"/>
          <w:color w:val="auto"/>
        </w:rPr>
      </w:pPr>
    </w:p>
    <w:p>
      <w:pPr>
        <w:ind w:left="260" w:right="420"/>
        <w:spacing w:after="0" w:line="266" w:lineRule="auto"/>
        <w:rPr>
          <w:sz w:val="20"/>
          <w:szCs w:val="20"/>
          <w:color w:val="auto"/>
        </w:rPr>
      </w:pPr>
      <w:r>
        <w:rPr>
          <w:rFonts w:ascii="Arial" w:cs="Arial" w:eastAsia="Arial" w:hAnsi="Arial"/>
          <w:sz w:val="18"/>
          <w:szCs w:val="18"/>
          <w:color w:val="auto"/>
        </w:rPr>
        <w:t>Weighted-average shares for dilutive earnings per common share</w:t>
      </w:r>
    </w:p>
    <w:p>
      <w:pPr>
        <w:spacing w:after="0"/>
        <w:tabs>
          <w:tab w:leader="none" w:pos="4780" w:val="left"/>
        </w:tabs>
        <w:rPr>
          <w:sz w:val="20"/>
          <w:szCs w:val="20"/>
          <w:color w:val="auto"/>
        </w:rPr>
      </w:pPr>
      <w:r>
        <w:rPr>
          <w:rFonts w:ascii="Arial" w:cs="Arial" w:eastAsia="Arial" w:hAnsi="Arial"/>
          <w:sz w:val="18"/>
          <w:szCs w:val="18"/>
          <w:color w:val="auto"/>
        </w:rPr>
        <w:t>Dilutive earnings (loss) per common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w w:val="95"/>
              </w:rPr>
              <w:t>(19,420)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4,131</w:t>
            </w:r>
          </w:p>
        </w:tc>
        <w:tc>
          <w:tcPr>
            <w:tcW w:w="2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21,739</w:t>
            </w:r>
          </w:p>
        </w:tc>
        <w:tc>
          <w:tcPr>
            <w:tcW w:w="240" w:type="dxa"/>
            <w:vAlign w:val="bottom"/>
          </w:tcPr>
          <w:p>
            <w:pPr>
              <w:spacing w:after="0"/>
              <w:rPr>
                <w:sz w:val="19"/>
                <w:szCs w:val="19"/>
                <w:color w:val="auto"/>
              </w:rPr>
            </w:pP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338"/>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337"/>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46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(745)</w:t>
            </w:r>
          </w:p>
        </w:tc>
        <w:tc>
          <w:tcPr>
            <w:tcW w:w="4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0" w:type="dxa"/>
            <w:vAlign w:val="bottom"/>
          </w:tcPr>
          <w:p>
            <w:pPr>
              <w:jc w:val="right"/>
              <w:ind w:right="110"/>
              <w:spacing w:after="0"/>
              <w:rPr>
                <w:sz w:val="20"/>
                <w:szCs w:val="20"/>
                <w:color w:val="auto"/>
              </w:rPr>
            </w:pPr>
            <w:r>
              <w:rPr>
                <w:rFonts w:ascii="Arial" w:cs="Arial" w:eastAsia="Arial" w:hAnsi="Arial"/>
                <w:sz w:val="18"/>
                <w:szCs w:val="18"/>
                <w:color w:val="auto"/>
                <w:w w:val="95"/>
              </w:rPr>
              <w:t>(19,470)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191,940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175,396</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185,746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191,940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175,653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185,746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vMerge w:val="restart"/>
          </w:tcPr>
          <w:p>
            <w:pPr>
              <w:jc w:val="right"/>
              <w:ind w:right="110"/>
              <w:spacing w:after="0"/>
              <w:rPr>
                <w:sz w:val="20"/>
                <w:szCs w:val="20"/>
                <w:color w:val="auto"/>
              </w:rPr>
            </w:pPr>
            <w:r>
              <w:rPr>
                <w:rFonts w:ascii="Arial" w:cs="Arial" w:eastAsia="Arial" w:hAnsi="Arial"/>
                <w:sz w:val="18"/>
                <w:szCs w:val="18"/>
                <w:color w:val="auto"/>
              </w:rPr>
              <w:t>(0.10)</w:t>
            </w: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60" w:type="dxa"/>
            <w:vAlign w:val="bottom"/>
            <w:vMerge w:val="continue"/>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-2220595</wp:posOffset>
            </wp:positionV>
            <wp:extent cx="72466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-1929130</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-1499870</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-908685</wp:posOffset>
            </wp:positionV>
            <wp:extent cx="72466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-616585</wp:posOffset>
            </wp:positionV>
            <wp:extent cx="7246620" cy="61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-1208405</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740"/>
          </w:cols>
          <w:pgMar w:left="240" w:top="125" w:right="279" w:bottom="1440" w:gutter="0" w:footer="0" w:header="0"/>
          <w:type w:val="continuous"/>
        </w:sectPr>
      </w:pPr>
    </w:p>
    <w:p>
      <w:pPr>
        <w:spacing w:after="0" w:line="21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For the three and nine months ended September 30, 2019, 27,758,769 potential common shares related to the Exchangeable Notes and 517,060 non-participating securities were excluded from the computation of earnings per share, as their effect would have been anti-dilutive. For the three and nine months ended September 30, 2018, 632,484 potential common shares related to Hunt Contingent Consideration were excluded from the computation of diluted earnings per share, as their effect would have been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and lease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space on communications towers to wireless service providers and other tenants in the United States. On April 2, 2019, the Company completed the sale of LATAM and no longer has on-going operations in Latin America. On May 23, 2019, the Company completed the sale of substantially all of its ground lease business located across the United States. </w:t>
      </w:r>
      <w:hyperlink w:anchor="page23">
        <w:r>
          <w:rPr>
            <w:rFonts w:ascii="Arial" w:cs="Arial" w:eastAsia="Arial" w:hAnsi="Arial"/>
            <w:sz w:val="18"/>
            <w:szCs w:val="18"/>
            <w:u w:val="single" w:color="auto"/>
            <w:color w:val="0000EE"/>
          </w:rPr>
          <w:t>See Note 5</w:t>
        </w:r>
      </w:hyperlink>
      <w:r>
        <w:rPr>
          <w:rFonts w:ascii="Arial" w:cs="Arial" w:eastAsia="Arial" w:hAnsi="Arial"/>
          <w:sz w:val="18"/>
          <w:szCs w:val="18"/>
          <w:i w:val="1"/>
          <w:iCs w:val="1"/>
          <w:color w:val="auto"/>
          <w:highlight w:val="white"/>
        </w:rPr>
        <w:t>.</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Services (“Talk America”) through which we operate the Consumer CLEC Business,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Spin-Off was reported as an integrated operation within Windstream. Talk America provides local telephone, high-speed internet and long distance services to customers in the eastern and central United States. We have commenced a wind down of our Consumer CLEC business, which we estimate will be completed during the second quarter of 2020.</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nine months ended September 30,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179,648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w:t>
            </w: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28,652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0"/>
              </w:rPr>
              <w:t>Transaction related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36</w:t>
            </w: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2"/>
          </w:tcPr>
          <w:p>
            <w:pPr>
              <w:jc w:val="center"/>
              <w:ind w:right="420"/>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Subtotal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4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174,822</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252,636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center"/>
              <w:ind w:left="350"/>
              <w:spacing w:after="0"/>
              <w:rPr>
                <w:sz w:val="20"/>
                <w:szCs w:val="20"/>
                <w:color w:val="auto"/>
              </w:rPr>
            </w:pPr>
            <w:r>
              <w:rPr>
                <w:rFonts w:ascii="Arial" w:cs="Arial" w:eastAsia="Arial" w:hAnsi="Arial"/>
                <w:sz w:val="18"/>
                <w:szCs w:val="18"/>
                <w:color w:val="auto"/>
                <w:w w:val="86"/>
              </w:rPr>
              <w:t>765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(5,421)</w:t>
            </w:r>
          </w:p>
        </w:tc>
        <w:tc>
          <w:tcPr>
            <w:tcW w:w="2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83,857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26,605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vMerge w:val="restart"/>
          </w:tcPr>
          <w:p>
            <w:pPr>
              <w:jc w:val="center"/>
              <w:ind w:left="350"/>
              <w:spacing w:after="0"/>
              <w:rPr>
                <w:sz w:val="20"/>
                <w:szCs w:val="20"/>
                <w:color w:val="auto"/>
              </w:rPr>
            </w:pPr>
            <w:r>
              <w:rPr>
                <w:rFonts w:ascii="Arial" w:cs="Arial" w:eastAsia="Arial" w:hAnsi="Arial"/>
                <w:sz w:val="18"/>
                <w:szCs w:val="18"/>
                <w:color w:val="auto"/>
                <w:w w:val="86"/>
              </w:rPr>
              <w:t>498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112,748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2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w w:val="92"/>
              </w:rPr>
              <w:t>Transaction related and 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2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12"/>
            <w:vMerge w:val="restart"/>
          </w:tcPr>
          <w:p>
            <w:pPr>
              <w:jc w:val="center"/>
              <w:ind w:right="440"/>
              <w:spacing w:after="0"/>
              <w:rPr>
                <w:sz w:val="20"/>
                <w:szCs w:val="20"/>
                <w:color w:val="auto"/>
              </w:rPr>
            </w:pPr>
            <w:r>
              <w:rPr>
                <w:rFonts w:ascii="Arial" w:cs="Arial" w:eastAsia="Arial" w:hAnsi="Arial"/>
                <w:sz w:val="14"/>
                <w:szCs w:val="14"/>
                <w:b w:val="1"/>
                <w:bCs w:val="1"/>
                <w:color w:val="auto"/>
                <w:w w:val="93"/>
              </w:rPr>
              <w:t>Nine Months Ended September 30, 2019</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Fiber Infrastructure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Consumer CLEC</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Reportable</w:t>
            </w:r>
          </w:p>
        </w:tc>
        <w:tc>
          <w:tcPr>
            <w:tcW w:w="0" w:type="dxa"/>
            <w:vAlign w:val="bottom"/>
          </w:tcPr>
          <w:p>
            <w:pPr>
              <w:spacing w:after="0"/>
              <w:rPr>
                <w:sz w:val="1"/>
                <w:szCs w:val="1"/>
                <w:color w:val="auto"/>
              </w:rPr>
            </w:pPr>
          </w:p>
        </w:tc>
      </w:tr>
      <w:tr>
        <w:trPr>
          <w:trHeight w:val="171"/>
        </w:trPr>
        <w:tc>
          <w:tcPr>
            <w:tcW w:w="23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532,773</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236,139</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11,499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FF0FC"/>
          </w:tcPr>
          <w:p>
            <w:pPr>
              <w:jc w:val="center"/>
              <w:ind w:left="270"/>
              <w:spacing w:after="0"/>
              <w:rPr>
                <w:sz w:val="20"/>
                <w:szCs w:val="20"/>
                <w:color w:val="auto"/>
              </w:rPr>
            </w:pPr>
            <w:r>
              <w:rPr>
                <w:rFonts w:ascii="Arial" w:cs="Arial" w:eastAsia="Arial" w:hAnsi="Arial"/>
                <w:sz w:val="18"/>
                <w:szCs w:val="18"/>
                <w:color w:val="auto"/>
                <w:w w:val="88"/>
              </w:rPr>
              <w:t>8,663</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789,074</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528,727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97,572</w:t>
            </w: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520" w:type="dxa"/>
            <w:vAlign w:val="bottom"/>
            <w:gridSpan w:val="3"/>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center"/>
              <w:ind w:left="270"/>
              <w:spacing w:after="0"/>
              <w:rPr>
                <w:sz w:val="20"/>
                <w:szCs w:val="20"/>
                <w:color w:val="auto"/>
              </w:rPr>
            </w:pPr>
            <w:r>
              <w:rPr>
                <w:rFonts w:ascii="Arial" w:cs="Arial" w:eastAsia="Arial" w:hAnsi="Arial"/>
                <w:sz w:val="18"/>
                <w:szCs w:val="18"/>
                <w:color w:val="auto"/>
                <w:w w:val="88"/>
              </w:rPr>
              <w:t>1,676</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(18,044)</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216,254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vMerge w:val="restart"/>
          </w:tcPr>
          <w:p>
            <w:pPr>
              <w:jc w:val="center"/>
              <w:ind w:left="270"/>
              <w:spacing w:after="0"/>
              <w:rPr>
                <w:sz w:val="20"/>
                <w:szCs w:val="20"/>
                <w:color w:val="auto"/>
              </w:rPr>
            </w:pPr>
            <w:r>
              <w:rPr>
                <w:rFonts w:ascii="Arial" w:cs="Arial" w:eastAsia="Arial" w:hAnsi="Arial"/>
                <w:sz w:val="18"/>
                <w:szCs w:val="18"/>
                <w:color w:val="auto"/>
                <w:w w:val="88"/>
              </w:rPr>
              <w:t>1,286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307,571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2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w w:val="92"/>
              </w:rPr>
              <w:t>Transaction related and 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32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(23,904)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vMerge w:val="restart"/>
          </w:tcPr>
          <w:p>
            <w:pPr>
              <w:jc w:val="center"/>
              <w:ind w:right="30"/>
              <w:spacing w:after="0"/>
              <w:rPr>
                <w:sz w:val="20"/>
                <w:szCs w:val="20"/>
                <w:color w:val="auto"/>
              </w:rPr>
            </w:pPr>
            <w:r>
              <w:rPr>
                <w:rFonts w:ascii="Arial" w:cs="Arial" w:eastAsia="Arial" w:hAnsi="Arial"/>
                <w:sz w:val="18"/>
                <w:szCs w:val="18"/>
                <w:color w:val="auto"/>
                <w:w w:val="89"/>
              </w:rPr>
              <w:t>37</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521,481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w:t>
            </w: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78,754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342,311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w w:val="97"/>
              </w:rPr>
              <w:t>Transaction related and 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 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July 25, 2019, in connection with Windstream’s bankruptcy, Windstream Holdings and Windstream Services, LLC filed a complaint with the U.S. Bankruptcy Court for the Southern District of New York against the Company and certain of its affiliates, alleging¸ among other things, that the Master Lease should be recharacterized as a financing arrangement, that the Master Lease is a lease of personal property, and that rent payments and tenant capital improvements made by Windstream under the Master Lease since at least the third quarter of 2017 constitute constructive fraudulent transfers. If the Master Lease is recharacterized as a financing arrangement, Windstream would be deemed the true owner of the property subject to the Master Lease, and Uniti would be treated as a creditor of Windstream rather than as a landlord, which could significantly affect current payments to us under the Master Lease, the ultimate treatment of our claims (including potentially through changing our status to that of a creditor that would share in creditor recoveries from the estate rather than receive rent payments) and our status as a REIT. If the Master Lease is determined to be a lease of personal property, the deadline for Windstream Holdings to assume or reject the Master Lease would be the confirmation of its plan by the bankruptcy court, and Windstream may seek from the bankruptcy court relief from its current performance obligations during the bankruptcy case. If the constructive fraudulent transfer claim is successful, Uniti may be required to repay Windstream the amount of rent payments and tenant capital improvements since at least the third quarter of 2017. In parallel with this filing, Windstream Holdings also filed a motion to stay the deadline under which Windstream must assume or reject the Master Lease pending the resolution of issues raised in the complaint. A mediation of these claims is ongoing in Windstream’s bankruptcy. In connection with the mediation, Uniti has agreed to an extension of the assumption deadline for the Master Lease to December 7, 2019. In exchange,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it is unlikely that a court will determine that the Master Lease should be recharacterized as a financing transaction, that the Master Lease is a lease of personal property, or that rent payments and tenant capital improvements made by Windstream under the Master Lease since at least the third quarter of 2017 constitute constructive fraudulent transfers. We intend to defend this matter vigorously, and, because it is still in its preliminary stages, have not yet determined what effect these claims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 However, it is difficult to predict what could occur in Windstream’s bankruptcy restructuring, including any judicial decisions in respect of claims against us by Windstream or its creditors. Any adverse determination or judicial decision could have a material adverse effect on our business, financial position or results of operations.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asserts claims for fraud and conspiracy, as well as claims under federal and Alabama securities laws, alleging that Defendants improperly failed to disclose to SLF the risk that the 2015 Spin-Off and entry into the Master Lease violated certain debt covenants of Windstream. SLF seeks compensatory and punitive damages, as well as reformation of the purchase agreement for the sale. We intend to defend this matter vigorously, and, because it is still in its preliminary stages, have not yet determined what effect this lawsuit will have, if any, on our financial position or results of operations. On September 26, 2019, the case was transferred to United States District Court for the District of Delaware</w:t>
      </w:r>
      <w:r>
        <w:rPr>
          <w:rFonts w:ascii="Arial" w:cs="Arial" w:eastAsia="Arial" w:hAnsi="Arial"/>
          <w:sz w:val="20"/>
          <w:szCs w:val="20"/>
          <w:color w:val="auto"/>
        </w:rPr>
        <w:t>.</w:t>
      </w:r>
      <w:r>
        <w:rPr>
          <w:rFonts w:ascii="Arial" w:cs="Arial" w:eastAsia="Arial" w:hAnsi="Arial"/>
          <w:sz w:val="17"/>
          <w:szCs w:val="17"/>
          <w:color w:val="auto"/>
        </w:rPr>
        <w:t xml:space="preserve"> As of the date of this Quarterly Report on Form 10-Q, we are unable to estimate a reasonably possible range of loss and therefore have not recorded any liabilities associated with these claims in our Condensed Consolidated Balance Sheet.</w:t>
      </w:r>
    </w:p>
    <w:p>
      <w:pPr>
        <w:spacing w:after="0" w:line="17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October 25, 2019, Ibrahim E. Safadi filed a putative class action in the U.S. District Court for the Eastern District of Arkansas against the Company and certain of our officers alleging violations of federal securities laws.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 the Master Lease violated certain debt covenants of Windstream. The lawsuit seeks class certification, unspecified monetary damages, costs and attorneys’ fees and other relief. We intend to defend this matter vigorously, and, because it is still in its preliminary stages,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September 30,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(loss) income by component is as follows for the three and nine months ended September 30, 2019 and 2018:</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5"/>
          </w:tcPr>
          <w:p>
            <w:pPr>
              <w:jc w:val="right"/>
              <w:ind w:right="251"/>
              <w:spacing w:after="0"/>
              <w:rPr>
                <w:sz w:val="20"/>
                <w:szCs w:val="20"/>
                <w:color w:val="auto"/>
              </w:rPr>
            </w:pPr>
            <w:r>
              <w:rPr>
                <w:rFonts w:ascii="Arial" w:cs="Arial" w:eastAsia="Arial" w:hAnsi="Arial"/>
                <w:sz w:val="14"/>
                <w:szCs w:val="14"/>
                <w:b w:val="1"/>
                <w:bCs w:val="1"/>
                <w:color w:val="auto"/>
                <w:w w:val="98"/>
              </w:rPr>
              <w:t>Three Months Ended September 30,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gain (loss):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(18,960)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55,074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30,042</w:t>
            </w:r>
          </w:p>
        </w:tc>
        <w:tc>
          <w:tcPr>
            <w:tcW w:w="16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(53,989)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53,968</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(4,705)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r>
      <w:tr>
        <w:trPr>
          <w:trHeight w:val="223"/>
        </w:trPr>
        <w:tc>
          <w:tcPr>
            <w:tcW w:w="51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62,818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(28,652)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8"/>
                <w:szCs w:val="18"/>
                <w:color w:val="auto"/>
              </w:rPr>
              <w:t>Less: Other comprehensive (loss) income attributable to</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0"/>
                <w:szCs w:val="20"/>
                <w:color w:val="auto"/>
              </w:rPr>
            </w:pPr>
          </w:p>
        </w:tc>
      </w:tr>
      <w:tr>
        <w:trPr>
          <w:trHeight w:val="223"/>
        </w:trPr>
        <w:tc>
          <w:tcPr>
            <w:tcW w:w="51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Amounts reclassified from accumulated other comprehensive income</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9"/>
                <w:szCs w:val="19"/>
                <w:color w:val="auto"/>
              </w:rPr>
            </w:pPr>
          </w:p>
        </w:tc>
      </w:tr>
      <w:tr>
        <w:trPr>
          <w:trHeight w:val="215"/>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Less: Other comprehensive income attributable to noncontrolling</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20"/>
                <w:szCs w:val="20"/>
                <w:color w:val="auto"/>
              </w:rPr>
            </w:pPr>
          </w:p>
        </w:tc>
      </w:tr>
      <w:tr>
        <w:trPr>
          <w:trHeight w:val="223"/>
        </w:trPr>
        <w:tc>
          <w:tcPr>
            <w:tcW w:w="51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other comprehensive income at end of period</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66,291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 Stock</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Until June 15, 2019, we had an effective shelf registration statement on file with the SEC (the “Registration Statement”) to offer and sell various securities from time to time. Under the Registration Statement, we established an at-the-market common stock offering program (the “ATM Program”) to sell shares of common stock having an aggregate offering price of up to $250.0 million. As of September 30, 2019, the Company has issued and sold an aggregate of 6.7 million shares of common stock at a weighted average price of $19.92 per share under the ATM Program, receiving net proceeds of $131.2 million, after commissions of $1.7 million and other offering costs. The ATM Program is currently suspended following the June 15, 2019 expiration of the Registration Statement.</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2, 2019, the Company issued 8,677,163 shares of its commons stock in connection with the conversion by PEG Bandwidth Holdings, LLC of 87,500 shares of the Series A Shares. The Company issued common stock with a total value of $87.5 million, with the total number of shares calculated based on the five-day volume weighted average price of its common stock ending on June 27, 2019. Upon conversion, all outstanding Series A Shares were cancelled and no longer remain outstanding. The issuance by the Company of the common stock was made in reliance upon the exception from registration requirements pursuant to Section 3(a)(9) of the Securities Act.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nine months ended September 30, 2019. This discussion should be read in conjunction with the accompanying Condensed Consolidated Financial Statements, and the notes thereto set forth in Part I, Item 1 of this Quarterly Report on Form 10-Q and our Annual Report on Form 10-K for the year ended December 31, 2018, filed with the Securities and Exchange Commission (the “SEC”) on March 18,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September 30, 2019, we are the sole general partner of the Operating Partnership and own approximately 98.2% of the partnership interests in the Operating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expect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52"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Towers Segment</w:t>
      </w:r>
      <w:r>
        <w:rPr>
          <w:rFonts w:ascii="Arial" w:cs="Arial" w:eastAsia="Arial" w:hAnsi="Arial"/>
          <w:sz w:val="17"/>
          <w:szCs w:val="17"/>
          <w:color w:val="auto"/>
        </w:rPr>
        <w:t>: Represents the operations of our towers business, Uniti Towers, through which we acquire and construct tower and tower-related real estate</w:t>
      </w:r>
      <w:r>
        <w:rPr>
          <w:rFonts w:ascii="Arial" w:cs="Arial" w:eastAsia="Arial" w:hAnsi="Arial"/>
          <w:sz w:val="17"/>
          <w:szCs w:val="17"/>
          <w:i w:val="1"/>
          <w:iCs w:val="1"/>
          <w:color w:val="auto"/>
        </w:rPr>
        <w:t xml:space="preserve"> </w:t>
      </w:r>
      <w:r>
        <w:rPr>
          <w:rFonts w:ascii="Arial" w:cs="Arial" w:eastAsia="Arial" w:hAnsi="Arial"/>
          <w:sz w:val="17"/>
          <w:szCs w:val="17"/>
          <w:color w:val="auto"/>
        </w:rPr>
        <w:t>and lease space on communications towers to wireless service providers and other tenants in the United States. On April 2, 2019, the Company completed the sale of LATAM and no longer has on-going operations in Latin America. On May 23, 2019, the Company completed the sale of substantially all of its ground lease business located across the United States. Uniti Towers is a component of our REIT operations.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 was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as an integrated operation within Windstream. Talk America provides local telephone, high-speed internet and long-distance services to customers in the eastern and central United States. We have commenced a wind down of our Consumer CLEC business, which we estimate will be completed during the second quarter of 2020.</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systems, insurance, professional fees and similar charges, that are directly attributable to operations of our business segments are allocated to the respective segments.</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Windstream Bankruptcy Filing.</w:t>
      </w:r>
      <w:r>
        <w:rPr>
          <w:rFonts w:ascii="Arial" w:cs="Arial" w:eastAsia="Arial" w:hAnsi="Arial"/>
          <w:sz w:val="18"/>
          <w:szCs w:val="18"/>
          <w:i w:val="1"/>
          <w:iCs w:val="1"/>
          <w:color w:val="auto"/>
        </w:rPr>
        <w:t xml:space="preserve"> </w:t>
      </w:r>
      <w:r>
        <w:rPr>
          <w:rFonts w:ascii="Arial" w:cs="Arial" w:eastAsia="Arial" w:hAnsi="Arial"/>
          <w:sz w:val="18"/>
          <w:szCs w:val="18"/>
          <w:color w:val="auto"/>
        </w:rPr>
        <w:t>Windstream was involved in litigation with an entity who acquired certain Windstream debt securities and thereafter issued a</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 Following the adverse outcome, on February 25, 2019, Windstream filed a voluntary petition for relief under Chapter 11 of the Bankruptcy Code in the U.S. Bankruptcy Court for the Southern District of New York.</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bankruptcy, Windstream has the option to assume or reject the Master Lease. Because the Master Lease is a single indivisible Master Lease with a single rent payment, it must be assumed or rejected in whole and cannot be sub-divided by facility or market absent Uniti’s consent.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and the Federal Communications Commission to cease providing service in those markets. As a result, we believe the probability of Windstream rejecting the Master Lease in bankruptcy to be remote. Windstream has filed claims against us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could affect our status as a REIT; that the Master Lease is a lease of personal property; and that rent payments and tenant capital improvements made by Windstream under the Master Lease since at least the third quarter of 2017 constitute constructive fraudulent transfers. A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 A rejection by Windstream of the Master Lease, an adverse determination by a judge on Windstream’s claims against us, or Windstream’s inability or unwillingness to meet its rent and other obligations under the Master Lease could materially adversely affect our consolidated results of operations, liquidity, and financial condition, including our ability to service debt, comply with debt covenants and maintain our status as a REIT.</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 to 1.0. Our Credit Agreement prohibits the Company from amending the Master Lease in a manner that, among other provisions, pro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forma for any such amendment, would result in our consolidated secured leverage ratio to exceed 5.0 to 1.0, and management has no intention to enter into a lease amendment that would violate our debt covenants.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Although the Master Lease contains no provision that contemplates renegotiation of the lease and the bankruptcy court has no ability to unilaterally reset the rent or terms of the Master Lease, it is difficult to predict what could occur in Windstream’s bankruptcy restructuring, including any judicial decisions in respect of claims against us by Windstream or its creditors. Any adverse determination or judicial decision or disruption in rent payments could have a material adverse effect on our business, financial position or results of operations, including our ability to comply with financial and other covenants in our debt instruments.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in Part I, Item 1A "Risk Factors" of our Annual Report on Form 10-K for the year ended December 31, 2018 for additional information concerning the impact Windstream’s bankruptcy and related claims may have on our REIT status, operations and financial condition.</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u w:val="single" w:color="auto"/>
          <w:color w:val="auto"/>
        </w:rPr>
        <w:t>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conditions and events which raise substantial doubt about our ability to continue as a going concern, and in its opinion on our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financial statements, PricewaterhouseCoopers LLP, our independent registered public accounting firm, expressed substantial doubt as to whether we could continue as a going concern during the one year period following the date those financial statements were issued as a result of Windstream’s bankruptcy petition and its potential uncertain effects on the Master Lease. Our financial statements do not include any adjustments that may result from the outcome of this uncertainty. We expect Windstream will continue to perform on the Master Lease and believe it is unlikely that Windstream will reject the Master Lease because the Master Lease is central to Windstream’s operations. We also believe that it is unlikely that a court will determine that the Master Lease should be recharacterized as a financing transaction, that the Master Lease is a lease of personal property, or that rent payments and tenant capital improvements made by Windstream under the Master Lease since at least the third quarter of 2017 constitute constructive fraudulent transfers. We have reduced our dividend and may reduce our capital expenditures, as well as seek external funding in order to sustain our operations. The failure to provide 2018 audited financial statements without a going concern opinion to the lenders under our Credit Agreement by March 31, 2019 would have constituted a breach of the covenants and an immediate event of default under our Credit Agreement, unless waived by our lenders. If an event of default were to have occurred under our Credit Agreement, the Credit Agreement’s administrative agent could have declared all outstanding loans immediately due and payable. Such an acceleration would have triggered cross-default provisions within the indentures governing our senior notes and thereby would have entitled the trustee and noteholders to accelerate the repayment of the senior notes.</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or at such earlier time when certain other conditions are specified, the Fourth Amendment generally limits our ability under the Credit Agreement to (i) prepay unsecured indebtedness and (ii) pay cash dividends in excess of 90% of our REIT taxable income, determined without regard to the dividends paid deduction and excluding any net capital gains. The Fourth Amendment also increased the interest rate on our Term Loan Facility, which now bears a rate of LIBOR, subject to a 1.0% floor, plus an applicable margin equal to 5.0%, a 200 basis point increase over our previous rate. This increase will remain in effect though the remaining term of the facility, which matures on October 24, 2022. The limited waiver would not apply to any going concern opinion we might receive from our auditors for our 2019 audited financial statements. If we conclude that we have substantial doubt as to our ability to continue as a going concern at such time, whether as a result of continued uncertainty around Windstream’s future and the status of our Master Lease or otherwise, we would be in default under our Credit Agreement absent a new waiver or consent. We can provide no assurances as to whether we would be able to obtain a waiver or the terms thereof.</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Extension of Revolving Credit Facility Maturity Date.</w:t>
      </w:r>
      <w:r>
        <w:rPr>
          <w:rFonts w:ascii="Arial" w:cs="Arial" w:eastAsia="Arial" w:hAnsi="Arial"/>
          <w:sz w:val="16"/>
          <w:szCs w:val="16"/>
          <w:i w:val="1"/>
          <w:iCs w:val="1"/>
          <w:color w:val="auto"/>
        </w:rPr>
        <w:t xml:space="preserve"> </w:t>
      </w:r>
      <w:r>
        <w:rPr>
          <w:rFonts w:ascii="Arial" w:cs="Arial" w:eastAsia="Arial" w:hAnsi="Arial"/>
          <w:sz w:val="16"/>
          <w:szCs w:val="16"/>
          <w:color w:val="auto"/>
          <w:highlight w:val="white"/>
        </w:rPr>
        <w:t>On June 24, 2019, we entered into an amendment (the “Fifth Amendment”) to our Credit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the maturity date of $575.9 million of commitments under the Revolving Credit Facility 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below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u w:val="single" w:color="auto"/>
          <w:color w:val="auto"/>
        </w:rPr>
        <w:t>Exchangeable Notes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28, 2019, Uniti Fiber Holdings Inc. (“Uniti Fiber”), a subsidiary of the Company, issued $345 million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of 4.00% Exchangeable Senior Notes due 2024 (the “Exchangeable Notes”). The Exchangeable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Notes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The Exchangeable Notes will mature on June 15, 2024, unless earlier exchanged, redeemed or repurchased. The Exchangeable Notes were sold to qualified institutional buyers pursuant to Rule 144A under the Securities Act.</w:t>
      </w:r>
    </w:p>
    <w:p>
      <w:pPr>
        <w:spacing w:after="0" w:line="1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net proceeds from the sale of the Exchangeable Notes were approximately $334.7 million, after deducting discounts and commissions to the Initial Purchasers. A portion of the net proceeds were used to repay outstanding borrowings under the Revolving Credit Facility, as described above, and to pay the cost of the exchangeable note hedge transactions, as described in Note 8 to our Condensed Consolidated Financial Statements contained in Part I, Item 1 of this Quarterly Report on Form 10-Q. The remaining net proceeds will be used for general corporate purposes, which may include funding acquisitions (including Bluebird (as defined below)) and the repayment of additional borrowings under the Revolving Credit Facility.</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auto"/>
        </w:rPr>
        <w:t>Bluebird Network, LLC.</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30, 2019, the Company closed on its OpCo-PropCo transaction with Macquarie Infrastructure Partners (“MIP”)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acquire Bluebird Network, LLC (“Bluebird”). MIP operates within the Macquarie Infrastructure and Real Assets division of Macquarie Group. Bluebird’s network consists of approximately 178,000 fiber strand miles in the Midwest across Missouri, Kansas, Illinois and Oklahoma. In the transaction, Uniti has purchased the Bluebird fiber network and MIP has purchased the Bluebird operations. In addition, Uniti has sold Uniti Fiber’s Midwest operations to MIP, while Uniti retains its existing Midwest fiber network. Uniti acquired the fiber network of Bluebird for $319 million, of which $175 million was funded by Uniti in cash and $144 million from pre-paid rent received from MIP at closing. In connection with the sale of the Company’s Midwest operations, we received total upfront cash of approximately $37 million, including related pre-paid rent received from MIP at closing. Concurrently with the closing of these transactions, Uniti has leased the Bluebird fiber network and its Midwest fiber network on a combined basis to MIP, under a long-term triple net lease. The lease is reported within the results of our Leasing segment. The Midwest operations that were sold to MIP was previously reported in our Fiber Infrastructure segment.</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terms of our lease with MIP (the “Bluebird Lease”), we have the right, but not the obligation, to fund growth capital expenditures. Assets constructed with our capital become a part of the leased assets upon completion. MIP will compensate the Company from the date of funding based on a mix of fixed and variable payments as stipulated in the lease. The Company will recognize revenue associated with these assets from the date of completion through the end of the initial lease term. To date, the Company has committed to fund approximately $23.0 million of growth capital expenditures, of which $7.9 million has already been funded.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u w:val="single" w:color="auto"/>
          <w:color w:val="auto"/>
        </w:rPr>
        <w:t>Sale of Ground Lease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second quarter, the Company completed the sale of substantially all of its ground lease business located across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for cash consideration of $30.7 million, realizing a pre-tax gain of $5.0 million. We sold an additional ground lease during the third quarter, receiving cash consideration of $2.9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179,648</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68.2%</w:t>
            </w:r>
          </w:p>
        </w:tc>
        <w:tc>
          <w:tcPr>
            <w:tcW w:w="3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174,822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29.6%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3,273</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1.2%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1.0%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263,629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252,636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104,655</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39.7%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80,406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101,166</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38.3%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25,267</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9.6%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20,666</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39,948</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15.2%</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15,179</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5.8%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(205)</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(0.1%)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(859)</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(0.3%)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(1,038)</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285,151</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108.2%</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249,878</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98.9%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(21,522)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4"/>
              </w:rPr>
              <w:t>(8.2%)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2,758</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(1,745)</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(0.7%)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(1,466)</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(19,777)</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(7.5%)</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(357)</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(0.1%)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(655)</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(745)</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(7.4%)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set forth, for the three months ended September 30, 2019 and 2018, revenues, Adjusted EBITDA and net (loss) income of our reportable segments: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179,648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178,095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30,536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w:t>
            </w: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70,227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28,652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0"/>
              </w:rPr>
              <w:t>Transaction related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Three Months Ended September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Towers</w:t>
            </w:r>
          </w:p>
        </w:tc>
        <w:tc>
          <w:tcPr>
            <w:tcW w:w="24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174,822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68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83,857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26,605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112,748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w w:val="97"/>
              </w:rPr>
              <w:t>Transaction related and 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Holdings pursuant to the Master</w:t>
      </w:r>
      <w:r>
        <w:rPr>
          <w:rFonts w:ascii="Arial" w:cs="Arial" w:eastAsia="Arial" w:hAnsi="Arial"/>
          <w:sz w:val="16"/>
          <w:szCs w:val="16"/>
          <w:i w:val="1"/>
          <w:iCs w:val="1"/>
          <w:color w:val="auto"/>
        </w:rPr>
        <w:t xml:space="preserve"> </w:t>
      </w:r>
      <w:r>
        <w:rPr>
          <w:rFonts w:ascii="Arial" w:cs="Arial" w:eastAsia="Arial" w:hAnsi="Arial"/>
          <w:sz w:val="16"/>
          <w:szCs w:val="16"/>
          <w:color w:val="auto"/>
        </w:rPr>
        <w:t>Lease. Under the Master Lease, Windstream Holdings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Master Lease has an initial term of 15 years with four 5-year renewal options and encompasses properties located in 29 states. Annual cash rent under the Master Lease is currently $657 million and is subject to an annual escalation of 0.5% each May through the initial term.</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adopted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as of January 1, 2019. This standard supersedes prior guidance regarding the evaluation of collectability of lease receivables, including straight-line revenue receivables. We have evaluated the collectability of our straight-line revenue receivable associated with the Master Lease in accordance with ASC 842. At the date of adoption, due to uncertainties surrounding Windstream’s operations and liquidity, including uncertainties surrounding the outcome of Windstream’s pending litigation, we concluded that the receivable should be written off. As a result, effective January 1, 2019, the Master Lease will be accounted for on a cash basis in accordance with ASC 842, until a time at which there is more certainty regarding Windstream’s decision to assume or reject the Master Lease.</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months ended September 30, 2019, we recognized $172.5 million of revenue from rents under the Master Lease, which included $7.5 million of TCI revenue. For the three months ended September 30, 2018, we recognized $173.7 million of revenue from rents under the Master Lease, which included $3.5 million of straight-line revenues and $6.0 million of TCI revenue. The increase in TCI revenue is attributable to continued investment by Windstream in TCIs. Windstream invested $41.4 million in TCIs during the three months ended September 30, 2019, bringing the total amount invested by Windstream since the inception of the Master Lease to $729.7 million as of September 30, 2019. As of September 30, 2018, Windstream had invested a total of $577.5 million in such improvements.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maintain our status as a REIT and service debt if Windstream were to reject the Master Lease in bankruptcy, default under the Master Lease, succeed in its claims against us or otherwise experiences operating or liquidity difficulties and becomes unable to generate sufficient cash to make payments to us. In recent years, Windstream has experienced annual declines in its total revenue, sales and cash flow, has had its credit ratings downgraded by nationally recognized credit rating agencies multiple times over the past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12 months and, on February 25, 2019, filed voluntary petitions for relief under Chapter 11 of the Bankruptcy Code in the U.S. Bankruptcy Court for the Southern District of New York. See Part I, Item 1A "Risk Factors" in our Annual Report on Form 10-K for the year ended December 31, 2018 for additional information concerning the impact Windstream’s bankruptcy and related claims may have on our REIT status, operations and financial condition.</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September 30, 2019, we recognized $7.2 million of leasing revenues from non-Windstream triple-net leasing and dark fiber indefeasible rights of use (“IRU”) arrangements, including $1.8 million of revenue related to the Bluebird transaction that closed on August 30, 2019. For the three months ended September 30, 2018, we recognized $1.1 million from non-Windstream triple-net leasing and dark fiber IRU arrangements. The increase in non-Windstream related revenues is due to the timing of closing sale-leaseback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September 30, 2019 and 2018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31,449</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40.3%</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32,920</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21,591</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27.7%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16,052</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18,879</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16,463</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5,585</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7.2%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2"/>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77,979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 the three months ended September 30, 2019, Fiber Infrastructure revenues totaled $78.0 million as compared to $70.1 million for the three months ended September 30, 2018. The increase is primarily driven by the timing of the Information Transport Solutions, Inc. (“ITS”) acquisition that occurred on October 19, 2018, which contributed revenues of $7.6 million during the three months ended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we had approximately 19,846 customer connections, up from 18,057 customer connections at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revenues for the three months ended September 30, 2019 and 2018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r>
      <w:tr>
        <w:trPr>
          <w:trHeight w:val="237"/>
        </w:trPr>
        <w:tc>
          <w:tcPr>
            <w:tcW w:w="5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3,273</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1,849</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42.8%</w:t>
            </w: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57.2%</w:t>
            </w:r>
          </w:p>
        </w:tc>
        <w:tc>
          <w:tcPr>
            <w:tcW w:w="100" w:type="dxa"/>
            <w:vAlign w:val="bottom"/>
            <w:shd w:val="clear" w:color="auto" w:fill="CFF0FC"/>
          </w:tcPr>
          <w:p>
            <w:pPr>
              <w:spacing w:after="0"/>
              <w:rPr>
                <w:sz w:val="19"/>
                <w:szCs w:val="19"/>
                <w:color w:val="auto"/>
              </w:rPr>
            </w:pPr>
          </w:p>
        </w:tc>
      </w:tr>
      <w:tr>
        <w:trPr>
          <w:trHeight w:val="223"/>
        </w:trPr>
        <w:tc>
          <w:tcPr>
            <w:tcW w:w="586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increase in U.S. revenues for the three months ended September 30, 2019, compared to the three months ended September 30, 2018, is primarily driven by our development activities. For three months ended September 30, 2019, we completed the construction of 55 towers in the U.S. At September 30, 2019, the Uniti Towers’ domestic portfolio consisted of 628 wireless communications towers located in 32 states across the eastern and central regions in the United States, an increase from 352 wireless communications towers at September 30, 2018. The decrease in revenues in Latin America compared to the three months ended September 30, 2018 is due to the April 2, 2019 sale of our Latin American tower portfolio.</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2019, we recognized $2.7 million of revenue from the Consumer CLEC Business,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$3.4 million for the three months ended September 30, 2018. The decrease is primarily attributable to a loss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customers during the period. We served approximately 17,500 customers as of September 30, 2019, a 26% decrease from the approximately 23,700 customers served at September 30, 2018. The decrease in customers is due to the effects of competition and customer attrition. We have commenced a wind down of our Consumer CLEC business, which includes customer terminations. We anticipate seeing an acceleration of the decline in revenue as a result of these efforts. We estimate that the wind down will be completed during the second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Interest expense for the three months ended September 30, 2019 totaled $104.7 million, which includes non-cash interest expense of $12.5 million resulting from the amortization of our debt discounts and debt issuance costs. Interest expense for the three months ended September 30, 2018, totaled $80.4 million, which includes non-cash interest expense of $6.2 million resulting from the amortization of our debt discounts and debt issuance costs.</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increase is primarily related to an increase in interest expense of $10.2 million on the Term Loan Facility as a result of the Fourth Amendment to our Credit Agreement, which increased the rate of our term loans by 200 basis points effective March 18, 2019, an increase of $3.5 million of cash interest expense incurred on our 4.0% Exchangeable Notes issued June 28, 2019, and an increase in of interest expense of $3.5 million on the Revolving Credit Facility as a result of the Fifth Amendment to our credit agreement, which increased the rate by 200 basis points effective June 24, 2019. Furthermore, there was an increase in non-cash interest expense from the amortization of our debt discounts and debt issuance costs of $6.3 million related to the issues of the Exchangeable Notes and as a result of the Fourth Amendment.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incur depreciation and amortization expense related to our property, plant and equipment, corporate assets and intangible assets. Charges for depreciation and amortization for the three months ended September 30, 2019 totaled $101.2 million, which included property, plant and equipment depreciation of $94.9 million and intangible asset amortization of $6.3 million. Charges for depreciation and amortization for the three months ended September 30, 2018 totaled $112.7 million, which included property, plant and equipment depreciation of $106.4 million and intangible asset amortization of $6.3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For the three months ended September 30, 2019, general and administrative costs totaled $25.3 million, which includes $2.8 million of stock-based compensation and $0.7 million of general and administrative costs attributable to the timing of the acquisition of ITS that occurred on October 19, 2018. For the three months ended September 30, 2018, general and administrative costs totaled $20.7 million, which included $2.0 million of stock-based compensation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Operating expense for the three months ended September 30, 2019, totaled $39.9 million compared to $34.8 million for the three months ended September 30, 2018, which was attributable to the increase in Fiber Infrastructure operating expenses and expenses associated with our U.S. towers development activities. Operating expense for our reportable segments for the three months ended September 30, 2019 and 2018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2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34,504</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13.1%</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30,165</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0"/>
              </w:rPr>
              <w:t>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1.1%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2,194</w:t>
            </w:r>
          </w:p>
        </w:tc>
        <w:tc>
          <w:tcPr>
            <w:tcW w:w="144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0.8%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2"/>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44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39,948</w:t>
            </w:r>
          </w:p>
        </w:tc>
        <w:tc>
          <w:tcPr>
            <w:tcW w:w="3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15.2%</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34,773</w:t>
            </w:r>
          </w:p>
        </w:tc>
        <w:tc>
          <w:tcPr>
            <w:tcW w:w="2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40" w:type="dxa"/>
            <w:vAlign w:val="bottom"/>
          </w:tcPr>
          <w:p>
            <w:pPr>
              <w:spacing w:after="0"/>
              <w:rPr>
                <w:sz w:val="24"/>
                <w:szCs w:val="24"/>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September 30, 2019, Fiber Infrastructure operating expenses totaled $34.5 million as compared to $30.2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2018.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ITS acquisition that occurred on October 19, 2018, which incurred operating expenses of 6.4 million for the three months ended September 30, 2019.</w:t>
      </w:r>
    </w:p>
    <w:p>
      <w:pPr>
        <w:spacing w:after="0" w:line="18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Our Towers segment operating expense primarily consists of ground rent, some or all of which may be passed to our tenants, as well as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taxes, regulatory fees and maintenance and repairs expenses. Operating expenses were $2.8 million for the three months ended September 30, 2019 and related entirely to our U.S. towers operations, compared to $1.8 million for the three months ended September 30, 2018, which consisted of $0.7 million of expenses related to our U.S. towers operations, and $1.1 million related to our Latin America operations.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increase in expenses attributable to our U.S. towers operations is a result of an increased in our development activities. At September 30, 2019 we operated 628 towers, compared to 352 at September 30, 2018. U.S. ground rent expenses increased by $0.7 million for the three months ended September 30, 2019 as compared to the three months ended September 30, 2018. In addition, there was an increase in property tax expense of $0.3 million and an increase in cancelled site costs of $0.5 million for the three months ended September 30, 2019 compared to the three months ended September 30, 2018. The decrease in expense related to Latin American is attributable to the April 2, 2019 sale of the Latin American tower business.</w:t>
      </w:r>
    </w:p>
    <w:p>
      <w:pPr>
        <w:spacing w:after="0" w:line="17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Expense associated with the Consumer CLEC Business is primarily attributable to the Wholesale Agreement and the Master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entered into between us and Windstream in connection with the Spin-Off, and includes costs arising under the interconnection agreements with other telecommunication carriers. Expense associated with the Wholesale Agreement and Master Services Agreement for the three months ended September 30, 2019 totaled $1.5 million and $0.2 million, respectively, and expense associated with the Wholesale Agreement and Master Services Agreement for the three months ended September 30, 2018 totaled $1.9 million and $0.2 million, respectively. The decrease in expense is a direct result of a decrease in customers served, as these expenses are largely variable in nature.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included incremental acquisition, pursuit, transaction and integration costs, including unsuccessful acquisition pursuit costs.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costs include costs incurred as a result of Windstream’s bankruptcy filing, costs associated with Windstream’s claims against us and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implementation of our new enterprise resource planning system. For the three months ended September 30, 2019, we incurred $15.2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related costs, compared to $2.3 million of such costs during the three months ended September 30, 2018. The increase is primarily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 million of total costs associated with the non-capitalizable Bluebird asset acquisition expenses, sale of our Latin America Tower portfolio, costs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Windstream bankruptcy, and costs associated with the implementation of our enterprise resource planning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recorded a $1.7 million income tax benefit for the three months ended September 30, 2019. This is primarily driven by a $3.2 million income tax benefit related to pre-tax loss in our Fiber Infrastructure segment, partially offset by approximately $1.3 million of income tax expense resulting from undistributed REIT taxable income. We recorded a $1.5 million income tax benefit for the three months ended September 30, 2018, primarily driven by pre-tax loss in our Fiber Infrastructure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Nine Months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 of Revenues</w:t>
            </w: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532,773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67.5%</w:t>
            </w:r>
          </w:p>
        </w:tc>
        <w:tc>
          <w:tcPr>
            <w:tcW w:w="3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521,481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29.9%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11,499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10,161</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789,074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746,880</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286,842</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36.4%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237,398</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307,571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342,311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75,921</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9.6%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63,867</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118,529</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96,199</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28,883</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12,025</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(28,995)</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(32,091)</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(1,574)</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756,660</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95.9%</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750,226</w:t>
            </w:r>
          </w:p>
        </w:tc>
        <w:tc>
          <w:tcPr>
            <w:tcW w:w="3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32,414</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(3,346)</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(5,208)</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2.8%</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shareholders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21,739</w:t>
            </w:r>
          </w:p>
        </w:tc>
        <w:tc>
          <w:tcPr>
            <w:tcW w:w="3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(301)</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(1,992)</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(656)</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(1,968)</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(993)</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(2,235)</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19,789</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2.5%</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set forth, for the nine months ended September 30, 2019 and 2018, revenues, Adjusted EBITDA and net income of our reportable segments: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4"/>
              </w:rPr>
              <w:t>Nine Months Ended September 30, 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Towers</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532,773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97,572</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FF0FC"/>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(18,044)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216,254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85,405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4,470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307,571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(24,848)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0"/>
              </w:rPr>
              <w:t>Transaction related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vMerge w:val="restart"/>
          </w:tcPr>
          <w:p>
            <w:pPr>
              <w:ind w:left="12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sale of real estate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(5,091)</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(23,904)</w:t>
            </w: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ind w:left="120"/>
              <w:spacing w:after="0"/>
              <w:rPr>
                <w:sz w:val="20"/>
                <w:szCs w:val="20"/>
                <w:color w:val="auto"/>
              </w:rPr>
            </w:pPr>
            <w:r>
              <w:rPr>
                <w:rFonts w:ascii="Arial" w:cs="Arial" w:eastAsia="Arial" w:hAnsi="Arial"/>
                <w:sz w:val="18"/>
                <w:szCs w:val="18"/>
                <w:color w:val="auto"/>
                <w:w w:val="98"/>
              </w:rPr>
              <w:t>Stock-based compensation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Leasing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46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521,481</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746,880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519,848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87,080</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w:t>
            </w: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Depreciation and</w:t>
            </w: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257,055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78,754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342,311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w w:val="97"/>
              </w:rPr>
              <w:t>Transaction related and 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40" w:type="dxa"/>
            <w:vAlign w:val="bottom"/>
            <w:gridSpan w:val="2"/>
            <w:vMerge w:val="restart"/>
          </w:tcPr>
          <w:p>
            <w:pPr>
              <w:ind w:left="12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gridSpan w:val="2"/>
          </w:tcPr>
          <w:p>
            <w:pPr>
              <w:ind w:left="1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2019, we recognized $515.0 million of revenue from rents under the Master Lease, which included $21.1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TCI revenue. For the nine months ended September 30, 2018, we recognized $519.8 million of revenue from rents under the Master Lease, which included $11.6 million of straight-line revenues and $16.7 million of TCI revenue. For the nine months ended September 30, 2019, we recognized $17.8 million of leasing revenues from non-Windstream triple-net leasing and dark fiber IRU arrangements, compared to $1.6 million for the nine months ended September 30, 2018.</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For the nine months ended September 30, 2019 and 2018, we recognized $236.1 million and $204.5 million of revenue, respectively, in</w:t>
      </w:r>
      <w:r>
        <w:rPr>
          <w:rFonts w:ascii="Arial" w:cs="Arial" w:eastAsia="Arial" w:hAnsi="Arial"/>
          <w:sz w:val="16"/>
          <w:szCs w:val="16"/>
          <w:i w:val="1"/>
          <w:iCs w:val="1"/>
          <w:color w:val="auto"/>
        </w:rPr>
        <w:t xml:space="preserve"> </w:t>
      </w:r>
      <w:r>
        <w:rPr>
          <w:rFonts w:ascii="Arial" w:cs="Arial" w:eastAsia="Arial" w:hAnsi="Arial"/>
          <w:sz w:val="16"/>
          <w:szCs w:val="16"/>
          <w:color w:val="auto"/>
        </w:rPr>
        <w:t>our Fiber Infrastructure segment. Fiber Infrastructure revenues for the nine months ended September 30, 2019 and 2018 consisted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97,055</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41.0%</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99,740</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57,561</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3"/>
              </w:rPr>
              <w:t>24.4%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47,032</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63,407</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93"/>
              </w:rPr>
              <w:t>26.9%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44,850</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15,958</w:t>
            </w:r>
          </w:p>
        </w:tc>
        <w:tc>
          <w:tcPr>
            <w:tcW w:w="146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87"/>
              </w:rPr>
              <w:t>6.8%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10,109</w:t>
            </w:r>
          </w:p>
        </w:tc>
        <w:tc>
          <w:tcPr>
            <w:tcW w:w="14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2"/>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2,158</w:t>
            </w:r>
          </w:p>
        </w:tc>
        <w:tc>
          <w:tcPr>
            <w:tcW w:w="1460" w:type="dxa"/>
            <w:vAlign w:val="bottom"/>
            <w:gridSpan w:val="2"/>
          </w:tcPr>
          <w:p>
            <w:pPr>
              <w:jc w:val="center"/>
              <w:ind w:left="213"/>
              <w:spacing w:after="0"/>
              <w:rPr>
                <w:sz w:val="20"/>
                <w:szCs w:val="20"/>
                <w:color w:val="auto"/>
              </w:rPr>
            </w:pPr>
            <w:r>
              <w:rPr>
                <w:rFonts w:ascii="Arial" w:cs="Arial" w:eastAsia="Arial" w:hAnsi="Arial"/>
                <w:sz w:val="18"/>
                <w:szCs w:val="18"/>
                <w:color w:val="auto"/>
                <w:w w:val="87"/>
              </w:rPr>
              <w:t>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2,755</w:t>
            </w:r>
          </w:p>
        </w:tc>
        <w:tc>
          <w:tcPr>
            <w:tcW w:w="148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we had approximately 19,846 customer connections, up from 18,057 customer connections at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revenues for the nine months ended September 30, 2019 and 2018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r>
              <w:rPr>
                <w:rFonts w:ascii="Arial" w:cs="Arial" w:eastAsia="Arial" w:hAnsi="Arial"/>
                <w:sz w:val="14"/>
                <w:szCs w:val="14"/>
                <w:color w:val="auto"/>
              </w:rPr>
              <w:t>(Thousands)</w:t>
            </w:r>
          </w:p>
        </w:tc>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240" w:type="dxa"/>
            <w:vAlign w:val="bottom"/>
          </w:tcPr>
          <w:p>
            <w:pPr>
              <w:spacing w:after="0"/>
              <w:rPr>
                <w:sz w:val="20"/>
                <w:szCs w:val="20"/>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37"/>
        </w:trPr>
        <w:tc>
          <w:tcPr>
            <w:tcW w:w="3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Towers revenues:</w:t>
            </w:r>
          </w:p>
        </w:tc>
        <w:tc>
          <w:tcPr>
            <w:tcW w:w="23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82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8,947</w:t>
            </w:r>
          </w:p>
        </w:tc>
        <w:tc>
          <w:tcPr>
            <w:tcW w:w="3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77.8%</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3,106</w:t>
            </w:r>
          </w:p>
        </w:tc>
        <w:tc>
          <w:tcPr>
            <w:tcW w:w="3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Latin America</w:t>
            </w:r>
          </w:p>
        </w:tc>
        <w:tc>
          <w:tcPr>
            <w:tcW w:w="2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3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22.2%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500"/>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3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3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increase in U.S. revenue for the nine months ended September 30, 2019, compared to the nine months ended September 30, 2018, is primarily driven by our development activities, and the inclusion of a non-recurring charge of $1.1 million related to the accounting of straight-line rents in our U.S. operations during the nine months ended September 30, 2018. For nine months ended September 30, 2019, we completed the construction of 198 towers in the U.S. At September 30, 2019, the Uniti Towers’ domestic portfolio consisted of 628 wireless communications towers located in 32 states across the eastern and central regions in the United States, an increase from 352 wireless communications towers at September 30, 2018. The decrease in revenues in Latin America compared to the nine months ended September 30, 2018 is due to the April 2, 2019 sale of our Latin American tower portfolio.</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2019, we recognized $8.7 million of revenue from the Consumer CLEC Business,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$10.8 million for the nine months ended September 30, 2018. The decrease is primarily attributable to a loss of customers during the period. We served approximately 17,500 customers as of September 30, 2019, a 26% decrease from the approximate 23,700 customers served at September 30, 2018. The decrease in customers is due to the effects of competition and customer attrition. We have commenced a wind down of our Consumer CLEC business, which includes customer terminations. We anticipate seeing an acceleration of the decline in revenue as a result of these efforts. We estimate that the wind down will be completed during the second quarter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Interest expense for the nine months ended September 30, 2019 totaled $286.8 million, which includes non-cash interest expense of $30.1 million resulting from the amortization of our debt discounts and debt issuance costs, partially offset by $2.2 million of capitalized interest. Interest expense for the nine months ended September 30, 2018, totaled $237.4 million, which includes non-cash interest expense of $18.3 million resulting from the amortization of our debt discounts and debt issuance costs.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is primarily related to an increase of interest expense of $21.7 million on the Term Loan Facility as a result of the Fourth Amendment to our Credit Agreement, which increased the rate of our term loans by 200 basis points effective March 18, 2019, an increase of interest expense of $11.9 million on the Revolving Credit Facility primarily due to the Fifth Amendment to our credit agreement, which increased the rate by 200 basis points effective June 24, 2019, and an increase of $3.6 million of cash interest expense incurred on our 4.0% Exchangeable Notes issued June 28, 2019. Furthermore, there was an increase in non-cash interest expense from the amortization of our debt discounts and debt issuance costs of $11.8 million related to the issues of the Exchangeable Notes and as a result of the Fourth Amendment.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incur depreciation and amortization expense related to our property, plant and equipment, corporate assets and intangible assets. Charges for depreciation and amortization for the nine months ended September 30, 2019 totaled $307.6 million, which included property, plant and equipment depreciation of $288.9 million and intangible asset amortization of $18.6 million. Charges for depreciation and amortization for the nine months ended September 30, 2018 totaled $342.3 million, which included property, plant and equipment depreciation of $323.3 million and intangible asset amortization of $19.0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For the nine months ended September 30, 2019, general and administrative costs totaled $75.9 million, which includes $3.5 million of costs attributable to the timing of the ITS acquisition that occurred on October 19, 2018, compared to $63.9 million for the nine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 for the nine months ended September 30, 2019, totaled $118.5 million compared to $96.2 million for the nine months ended September 30, 2018, which was attributable to the increase in Fiber Infrastructure operating expenses. Operating expense for our reportable segments for the nine months ended September 30, 2019 and 2018 consisted of the following: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 Consolidated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103,006</w:t>
            </w:r>
          </w:p>
        </w:tc>
        <w:tc>
          <w:tcPr>
            <w:tcW w:w="1460" w:type="dxa"/>
            <w:vAlign w:val="bottom"/>
            <w:gridSpan w:val="2"/>
          </w:tcPr>
          <w:p>
            <w:pPr>
              <w:jc w:val="center"/>
              <w:ind w:left="214"/>
              <w:spacing w:after="0"/>
              <w:rPr>
                <w:sz w:val="20"/>
                <w:szCs w:val="20"/>
                <w:color w:val="auto"/>
              </w:rPr>
            </w:pPr>
            <w:r>
              <w:rPr>
                <w:rFonts w:ascii="Arial" w:cs="Arial" w:eastAsia="Arial" w:hAnsi="Arial"/>
                <w:sz w:val="18"/>
                <w:szCs w:val="18"/>
                <w:color w:val="auto"/>
                <w:w w:val="93"/>
              </w:rPr>
              <w:t>13.1%</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81,660</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7,320</w:t>
            </w:r>
          </w:p>
        </w:tc>
        <w:tc>
          <w:tcPr>
            <w:tcW w:w="14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5,972</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CLEC</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6,916</w:t>
            </w:r>
          </w:p>
        </w:tc>
        <w:tc>
          <w:tcPr>
            <w:tcW w:w="1460" w:type="dxa"/>
            <w:vAlign w:val="bottom"/>
            <w:gridSpan w:val="2"/>
          </w:tcPr>
          <w:p>
            <w:pPr>
              <w:jc w:val="center"/>
              <w:ind w:left="214"/>
              <w:spacing w:after="0"/>
              <w:rPr>
                <w:sz w:val="20"/>
                <w:szCs w:val="20"/>
                <w:color w:val="auto"/>
              </w:rPr>
            </w:pPr>
            <w:r>
              <w:rPr>
                <w:rFonts w:ascii="Arial" w:cs="Arial" w:eastAsia="Arial" w:hAnsi="Arial"/>
                <w:sz w:val="18"/>
                <w:szCs w:val="18"/>
                <w:color w:val="auto"/>
                <w:w w:val="87"/>
              </w:rPr>
              <w:t>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8,145</w:t>
            </w:r>
          </w:p>
        </w:tc>
        <w:tc>
          <w:tcPr>
            <w:tcW w:w="148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w:t>
            </w:r>
          </w:p>
        </w:tc>
        <w:tc>
          <w:tcPr>
            <w:tcW w:w="146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87"/>
              </w:rPr>
              <w:t>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48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118,529</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15.1%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96,199</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nine months ended September 30, 2019, Fiber Infrastructure operating expenses totaled $103.0 million as compared to $81.7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2018. Operating expense consists of network related costs, such as dark fiber and tower rents, and lit service and maintenance expense. In addition, costs associated with our construction activities are presented within operating expenses. The increase in operating expenses is primarily attributable to the timing of the ITS acquisition that occurred on October 19, 2018, which incurred operating expenses of $18.8 million for the nine months ended September 30, 2019.</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Our Towers segment operating expense primarily consists of ground rent, some or all of which may be passed to our tenants, as well as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regulatory fees and maintenance and repairs expenses. For the nine months ended September 30, 2019, Towers operating expense was $7.3 million and included $6.3 million of expenses related to our U.S. towers operations and $1.0 million related to our Latin American tower operations. For the nine months ended September 30, 2018 operating expenses were $6.0 million and included $3.0 million of expenses related to each of our U.S. and Latin American towers operations. The increase in the U.S. in primarily driven by our development activities, while the decrease in Latin America is due to the sale of our Latin American tower portfolio.</w:t>
      </w:r>
    </w:p>
    <w:p>
      <w:pPr>
        <w:spacing w:after="0" w:line="19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Expense associated with the Consumer CLEC Business is primarily attributable to the Wholesale Agreement and the Master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entered into between us and Windstream in connection with the Spin-Off, and includes costs arising under the interconnection agreements with other telecommunication carriers. Expense associated with the Wholesale Agreement and Master Services Agreement for the nine months ended September 30, 2019 totaled $4.8 million and $0.5 million, respectively, and expense associated with the Wholesale Agreement and Master Services Agreement for the nine months ended September 30, 2018 totaled $6.0 million and $0.6 million, respectively. The decrease in expense is a direct result of a decrease in customers served, as these expenses are largely variable in nature.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included incremental acquisition, pursuit, transaction and integration costs, including unsuccessful acquisition pursuit costs. In addition,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costs include costs incurred as a result of Windstream’s bankruptcy filing, costs associated with Windstream’s claims against us and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implementation of our new enterprise resource planning system. For the nine months ended September 30, 2019, we incurred $28.9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related costs, compared to $12.0 million of such costs during the nine months ended September 30, 2018. The increase is primarily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$21.4 million of total costs associated with the non-capitalizable Bluebird asset acquisition expenses, sale of our Latin America Tower portfolio, costs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Windstream bankruptcy, and costs associated with the implementation of our enterprise resource planning system. This increase was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decrease in Uniti Fiber integration costs of $4.2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Real Estate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nine months ended September 30, 2019, we recognized realized gains of $23.8 million and $5.1 million related to the April 2, 2019 sale of the Uniti Towers’ Latin American business and May 23, 2019 sale of U.S. ground lease business,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recognized $32.1 million of other income for the nine months ended September 30, 2019, which included a $28.5 million unrealized gain for mark-to-market adjustments on our contingent consideration arrangements. For the nine months ended September 30, 2018, we recognized $1.6 million of other income, compared to a $0.7 million unrealized gain for mark-to-market adjustments 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our contingent consideration arrangements and a $0.8 million gain related to escrow settlements related to our Latin American tower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recorded a $10.2 million income tax expense for the nine months ended September 30, 2019. Included in income tax expense is approximately (i) $4.6 million of income tax expense related to the cancellation of debt income that was recognized for federal income tax purposes as a result of the Fourth Amendment, (ii) approximately $4.6 million of income tax expense related to capital gain from the sale of Uniti Towers’ Latin American business, (iii) approximately $4.0 million of income tax expense related to undistributed income from operations and (iv) approximately $2.7 million of income tax expense attributable to unrecognized tax benefit related to the sale of Uniti Towers’ Latin American business. Additionally, we recorded a $5.8 million income tax benefit related to pre-tax loss in our Fiber Infrastructure segment. We recorded a $5.2 million income tax benefit for the nine months ended September 30, 2018, $1.3 million of which relates to the impact of the reduction in the corporate tax rate under the Tax Cuts and Jobs Act on purchase price allocation adjustments recorded during the three months ended September 30, 2018 and the remainder of which is primarily driven by pre-tax loss in our Fiber Infrastructure segment.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new enterprise resource planning system (collectively, “Transaction Related and Other Costs”), the write-off of unamortized deferred financing costs, costs incurred as a result of the early repayment of debt, gains or losses on dispositions, changes in the fair value of contingent consideration and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defines AFFO as FFO excluding (i) transaction and integration related costs; (ii) Windstream bankruptcy and litigation related expenses; (iii)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early repayment of debt, taxes associated with tax basis cancellation of debt, gains or losses on dispositions, changes in the fair value of contingent consideration and financial instruments and similar or infrequent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income to EBITDA and Adjusted EBITDA and of our net income attributable to common shareholders to FFO and AFFO for the three and nine months ended September 30, 2019 and 2018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101,166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307,571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(1,745)</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184,299</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626,827</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(28,995)</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(24,848)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609,797</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2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420" w:type="dxa"/>
            <w:vAlign w:val="bottom"/>
            <w:tcBorders>
              <w:bottom w:val="single" w:sz="8" w:color="CFF0FC"/>
            </w:tcBorders>
            <w:vMerge w:val="continue"/>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Net (loss) income attributable to common shareholders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81,084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247,246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assets, net of tax</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(205)</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(24,420)</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(875)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(1,472)</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(4,506)</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93,218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237,535</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15,179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28,883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(2,999)</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(28,530)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12,386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30,045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based compensation</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20,082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60,325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(3,532)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(1,450)</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(10,932)</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(1,539)</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(6,265)</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Amortization of discount on convertible preferred stock</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Cash taxes on tax basis cancellation of debt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4,590</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(6,177)</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(8,738)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(21,826)</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(1,443)</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98,716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310,787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2018, filed with the SEC on March 18, 2019. As of September 30, 2019, there has been no material change to these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As of September 30, 2019, we had cash and cash equivalents of $197.3 million. There have been no material outlays of funds subsequent to September 30, 2019. Availability under our Revolving Credit Facility is subject to various conditions, including a maximum secured leverage ratio of 5.0:1, although it is currently substantially drawn. In addition, if we incur debt under our Revolving Credit Facility or otherwise such that our total leverage ratio exceeds 6.5:1, our debt instruments would impose significant restrictions on our ability to pay dividends.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provided by operating activities was $561.8 million and $399.9 million for the nine months ended September 30, 2019 and 2018, respectively. Cash provided by operating activities is primarily attributable to our leasing activities.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Cash used in investing activities was $451.2 million for the nine months ended September 30, 2019, which was driven by capital expenditures ($264.9 million) and the acquisition of Bluebird fiber network assets ($319.0 million), partially offset by proceeds related to the sale of Uniti Towers’ Latin American and ground lease businesses and sale of Uniti Fiber’s Midwest operations ($136.8 million). Cash used in investing activities was $300.4 million for</w:t>
      </w:r>
    </w:p>
    <w:p>
      <w:pPr>
        <w:ind w:right="60"/>
        <w:spacing w:after="0" w:line="261" w:lineRule="auto"/>
        <w:rPr>
          <w:sz w:val="20"/>
          <w:szCs w:val="20"/>
          <w:color w:val="auto"/>
        </w:rPr>
      </w:pPr>
      <w:r>
        <w:rPr>
          <w:rFonts w:ascii="Arial" w:cs="Arial" w:eastAsia="Arial" w:hAnsi="Arial"/>
          <w:sz w:val="18"/>
          <w:szCs w:val="18"/>
          <w:color w:val="auto"/>
        </w:rPr>
        <w:t>the nine months ended September 30, 2018, which was driven by capital expenditures ($297.1 million), primarily related to our Uniti Fiber and Uniti Leasing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financing activities was $48.8 million for the nine months ended September 30, 2019, which primarily represents the proceeds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issuance of notes ($345.0 million), proceeds from sale of the Warrants ($50.8 million) and net proceeds under our ATM Program ($21.6 million). This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dividend payments ($129.1 million), payment for bond hedge option ($70.0 million), net repayments under the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 million), payments for financing costs ($49.5 million), contingent consideration payments ($32.3 million), principal payments related to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($15.8 million) and distributions paid to noncontrolling interests ($2.9 million). Cash used in financing activities was $41.0 million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2018, which primarily represented the dividend payments ($318.1 million), contingent consideration payments ($18.6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payments related to the Term Loan Facility ($15.8 million), and distributions paid to noncontrolling interests ($7.4 million), partially offset by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Revolving Credit Facility ($260.0 million) and net proceeds under our ATM Program ($64.4 million).</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June 28, 2019, Uniti Fiber issued $345 million aggregate principal amount of the Exchangeable Notes. The Exchangeable Notes are guaranteed by the Company and each of the Company’s subsidiaries (other than Uniti Fiber) that is an issuer, obligor or guarantor under the Company’s Notes. The Exchangeable Notes bear interest at a fixed rate of 4.00% per year, payable semiannually in arrears on June 15 and December 15 of each year, beginning on December 15, 2019. The Exchangeable Notes are exchangeable into cash,</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shares of the Company’s common stock, or a combination thereof, at Uniti Fiber’s election. The Exchangeable Notes will mature on June 15, 2024, unless earlier exchanged, redeemed or repurchased. The Exchangeable Notes were sold to qualified institutional buyers pursuant to Rule 144A under the Securities Act. See Note 10 to our accompanying Condensed Consolidated Financial Statements contained in Part I, Item 1 of this Quarterly Report on Form 10-Q for additional information.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net proceeds from the sale of the Exchangeable Notes were approximately $334.7 million, after deducting discounts and commissions to the Initial Purchasers and other estimated fees and expenses. A portion of the net proceeds were used to repay outstanding borrowings under the Revolving Credit Facility, as described above, and to pay the approximately $70.0 million cost associated with the exchangeable note hedge transactions, as described in Note 8 to our accompanying Condensed Consolidated Financial Statements contained in Part I, Item 1 of this Quarterly Report on Form 10-Q. The remaining net proceeds will be used for general corporate purposes, which may include funding acquisitions (including Bluebird) and the repayment of additional borrowings under the Revolving Credit Facility. The Company also received approximately $50.8 million from the sale of warrants, as described in Note 8 to our accompanying Condensed Consolidated Financial Statements contained in Part I, Item 1 of this Quarterly Report on Form 10-Q.</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established an at the market common stock offering program (the “ATM Program”) to sell shares of common stock having an aggregate offering price of up to $250 million. The ATM Program is currently suspended following the June 15, 2019 expiration of our shelf registration statement. As of September 30, 2019, we have approximately $117.1 million available for issuance under the ATM Program. When in operation, this program was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7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anticipate continuing to invest in our network infrastructure across our Uniti Leasing, Uniti Fiber and Uniti Towers portfolios. We anticipate declaring dividends for the 2019 tax year to comply with our REIT distribution requirements, although such dividends are expected to be lower than in prior periods. We anticipate that we will partially finance these needs, together with operating expenses (including debt service) from our $197.3 million of cash on hand, and cash flows provided by operating activities. However, we may need to access the capital markets to generate additional funds that will be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could be subject to a shortfall in liquidity in the future which could lead to a reduction in our capital expenditures and/or dividends. If this shortfall occurs rapidly and with little or no notice, it could limit our ability to address the shortfall on a timely basis.</w:t>
      </w:r>
    </w:p>
    <w:p>
      <w:pPr>
        <w:spacing w:after="0" w:line="19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w:t>
      </w:r>
    </w:p>
    <w:p>
      <w:pPr>
        <w:spacing w:after="0" w:line="261" w:lineRule="auto"/>
        <w:rPr>
          <w:sz w:val="20"/>
          <w:szCs w:val="20"/>
          <w:color w:val="auto"/>
        </w:rPr>
      </w:pPr>
      <w:r>
        <w:rPr>
          <w:rFonts w:ascii="Arial" w:cs="Arial" w:eastAsia="Arial" w:hAnsi="Arial"/>
          <w:sz w:val="18"/>
          <w:szCs w:val="18"/>
          <w:color w:val="auto"/>
        </w:rPr>
        <w:t>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June 24, 2019, we entered into the Fifth Amendment to our Credit Agreement to extend the maturity date of $575.9 million of commitments under the Revolving Credit Facility to April 24, 2022,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$575.9 million of commitments will terminate on April 24, 2022, at which time all outstanding borrowings must be repaid. The Company used a portion of the net proceeds from the offering of Exchangeable Notes described above to fund the repayments. The Fifth Amendment increased the applicable margin for base rate loans under the Revolving Credit Facility to a range of 2.75% to 3.25% and for Eurodollar rate loans under the Revolving Credit Facility to a range of 3.75% to 4.25%, calculated in a customary manner and determined based on our consolidated secured leverage ratio.</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light of recent developments and uncertainty surrounding Windstream and the effect of substantial doubt about our ability to continue as a going concern, as discussed in Note 2 to our accompanying Condensed Consolidated Financial Statements contained in Part I, Item 1 of this Quarterly Report on Form 10-Q and in Part I, Item 1A "Risk Factors" in our Annual Report on Form 10-K for the year ended December 31, 2018, we have taken measures, and may take further measures to conserve cash as we anticipate that it may be more difficult for us to access the capital markets at attractive rates until such uncertainty is clarified.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Windstream has also filed claims against us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could affect our status as a REIT; that the Master Lease is a lease of personal property; and that rent payments and tenant capital improvements made by Windstream under the Master Lease since at least the third quarter of 2017 constitute constructive fraudulent transfers. A rejection of the Master Lease, an adverse determination by a judge on Windstream’s claims against us,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financial and other covenants and maintain our status as a REIT.</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Although management has concluded the probability of a rejection of the Master Lease to be remote, and has noted the absence of any provision in the Master Lease that contemplates renegotiation of the lease and the lack of any ability of the bankruptcy court to unilaterally reset the rent or terms of the lease, it is difficult to predict what could occur in Windstream’s bankruptcy restructuring, including any judicial decisions in respect of claims against us by Windstream or its creditors. Accordingly, we may elect to suspend, delay or reduce success-based capital expenditures and further reduce dividend payments to conserve cash. However, because the Master Lease is essential to Windstream’s operations, absent any adverse determination in respect to Windstream’s claims against us, which we believe is unlikely, we expect that any disruption in payments by Windstream would likely be limited. Based on our analysis, including consideration of the timing of petitioners’ requirements to make post-petition lease payments under U.S. bankruptcy law and absent any adverse determination in respect to Windstream’s claims or disruptions in rent payments under the Master Lease, we believe that we have adequate liquidity to continue to fund our operations for twelve months after the issuance of the accompanying Condensed Consolidated Financial Statements included in Part I, Item 1 of this Quarterly Report on Form 10-Q, absent any adverse determination in respect to Windstream’s claims or disruptions in rent payments under the Master Lease. If our assumptions are incorrect, we could need additional sources of liquidity to fund our cash needs and cannot assure that we will obtain them. A rejection by Windstream of the Master Lease, an adverse determination by a judge on Windstream’s claims against us, or Windstream’s inability or unwillingness to meet its rent and other obligations under the Master Lease could materially adversely affect our consolidated results of operations, liquidity, and financial condition, including our ability to service debt, comply with financial and other covenants and pay dividends to our stockholders as required to maintain our status as a REIT.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18, 2019, we received a limited waiver and amendment to our Credit Agreement (the “Fourth Amendment”). During the pendency of Windstream’s bankruptcy, or at such earlier time when certain conditions are specified, the Fourth Amendment generally limits our ability under the Credit Agreement to pay cash dividends in excess of 90% of our REIT taxable income, determined without regard to the dividends paid deduction and excluding any net capital gains.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Period</w:t>
            </w:r>
          </w:p>
        </w:tc>
        <w:tc>
          <w:tcPr>
            <w:tcW w:w="3000" w:type="dxa"/>
            <w:vAlign w:val="bottom"/>
            <w:gridSpan w:val="2"/>
          </w:tcPr>
          <w:p>
            <w:pPr>
              <w:spacing w:after="0"/>
              <w:rPr>
                <w:sz w:val="24"/>
                <w:szCs w:val="24"/>
                <w:color w:val="auto"/>
              </w:rPr>
            </w:pP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Payment Date</w:t>
            </w:r>
          </w:p>
        </w:tc>
        <w:tc>
          <w:tcPr>
            <w:tcW w:w="120" w:type="dxa"/>
            <w:vAlign w:val="bottom"/>
          </w:tcPr>
          <w:p>
            <w:pPr>
              <w:spacing w:after="0"/>
              <w:rPr>
                <w:sz w:val="24"/>
                <w:szCs w:val="24"/>
                <w:color w:val="auto"/>
              </w:rPr>
            </w:pP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Record Date</w:t>
            </w:r>
          </w:p>
        </w:tc>
      </w:tr>
      <w:tr>
        <w:trPr>
          <w:trHeight w:val="223"/>
        </w:trPr>
        <w:tc>
          <w:tcPr>
            <w:tcW w:w="4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October 1, 2018 -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January 15, 2019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2018</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January 1, 2019 - March 31, 2019</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April 15,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April 1, 2019</w:t>
            </w:r>
          </w:p>
        </w:tc>
      </w:tr>
      <w:tr>
        <w:trPr>
          <w:trHeight w:val="230"/>
        </w:trPr>
        <w:tc>
          <w:tcPr>
            <w:tcW w:w="4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April 1, 2019 - June 30, 2019</w:t>
            </w:r>
          </w:p>
        </w:tc>
        <w:tc>
          <w:tcPr>
            <w:tcW w:w="2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July 15, 2019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9"/>
                <w:szCs w:val="19"/>
                <w:color w:val="auto"/>
              </w:rPr>
            </w:pPr>
          </w:p>
        </w:tc>
        <w:tc>
          <w:tcPr>
            <w:tcW w:w="2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28, 2019</w:t>
            </w: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July 1, 2019 - September 30, 2019</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15,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8"/>
              </w:rPr>
              <w:t>September 30, 2019</w:t>
            </w:r>
          </w:p>
        </w:tc>
      </w:tr>
    </w:tbl>
    <w:p>
      <w:pPr>
        <w:spacing w:after="0" w:line="30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we may take measures to conserve cash, which may include a suspension, delay or reduction in our dividend.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Uniti Fiber and Uniti Towers portfolios, and expect that cash on hand and cash flows provided by operating activities will be sufficient to support these investments. The Company has committed to fund approximately $23.0 million of growth capital expenditures related to the Bluebird Lease, of which $7.9 million has already been paid.</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light of recent developments with Windstream, we may need to take measures to conserve cash, which may include a suspension, delay or reduction in success-based capital expenditures. We are closely monitoring developments of the Windstream bankruptcy and continually assess our capital expenditure plans in light of such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2018, filed with the SEC on March 18, 2019.</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January 1, 2019, we account for leases in accordance with ASC 842. The standard requires lessees to apply a dual approach, classifying leases as either finance or operating leases based on the principle of whether or not the lease is effectively a financed purchase by the lessee. This classification will determine whether lease expense is comprised of amortization on the right-of-use asset (“ROU”) and interest expense recognized based on an effective interest method, or as a single lease cost recognized on a straight-line basis over the term of the lease, respectively. A lessee is also required to record a right-of-use asset and a lease liability for all leases with a term of greater than 12 months regardless of their classification. The accounting for lessors remains largely unchanged. Leases with a term of 12 months or less will be accounted for consistent with existing guidance for operating leases today.</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determine if an arrangement is a lease at contract inception. A lease exists when a contract conveys to the customer the right to control the use of identified property, plant, or equipment for a period of time in exchange for consideration. The definition of a lease embodies two conditions: (i) there is an identified asset in the contract that is land or a depreciable asset (i.e., property, plant, and equipment), and (ii) the customer has the right to control the use of the identified asset.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lease contracts including ground, towers, equipment, office, colocation and fiber lease arrangements, in which we are the lessee, and service contracts that may include embedded leases. Operating leases where we are the lessor are included in Leasing, Fiber Infrastructure and Tower revenues on our Condensed Consolidated Statements of Income.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enter into direct financing lease arrangements that include (i) a lessee obligation to purchase the leased equipment at the end of the lease term, (ii) a bargain purchase option, (iii) a lease term having a duration that is for the major part of the remaining economic life of the leased equipment or</w:t>
      </w:r>
    </w:p>
    <w:p>
      <w:pPr>
        <w:ind w:firstLine="8"/>
        <w:spacing w:after="0" w:line="261" w:lineRule="auto"/>
        <w:tabs>
          <w:tab w:leader="none" w:pos="3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for minimum lease payments with a present value amounting to substantially all of the fair value of the leased equipment at the date of lease inception.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ROU assets and lease liabilities related to operating leases where we are the lessee are included in other assets and accounts payable, accrued expenses and other liabilities, respectively, on our Condensed Consolidated Balance Sheets. The lease liabilities are initially and subsequently measured at the present value of the unpaid lease payments at the lease commencement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lease liabilities related to finance leases where we are the lessee are included in property, plant and equipment, net and finance lease obligations, respectively, on our Condensed Consolidated Balance Sheets. The lease liabilities are initially measured in the same manner as operating leases and are subsequently measured at amortized cost using the effective interest method. ROU assets for finance leases are amortized on a straight-line basis over the remaining lease term.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Key estimates and judgments include how we determined (i) the discount rate we use to discount the unpaid lease payments to present value, (ii) lease term and (iii) lease payments.</w:t>
      </w:r>
    </w:p>
    <w:p>
      <w:pPr>
        <w:spacing w:after="0" w:line="170" w:lineRule="exact"/>
        <w:rPr>
          <w:sz w:val="20"/>
          <w:szCs w:val="20"/>
          <w:color w:val="auto"/>
        </w:rPr>
      </w:pPr>
    </w:p>
    <w:p>
      <w:pPr>
        <w:jc w:val="both"/>
        <w:ind w:left="760" w:hanging="374"/>
        <w:spacing w:after="0" w:line="276"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ASC 842 requires a lessor to discount its unpaid lease payments using the interest rate implicit in the lease and a lessee to discount its unpaid lease payments using the interest rate implicit in the lease or, if that rate cannot be readily determined, its incremental borrowing rate. As we generally do not know the implicit rate for our leases where we are the lessee,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w:t>
      </w:r>
    </w:p>
    <w:p>
      <w:pPr>
        <w:spacing w:after="0" w:line="172"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w:t>
      </w:r>
    </w:p>
    <w:p>
      <w:pPr>
        <w:spacing w:after="0" w:line="181"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 payments included in the measurement of the lease asset or liability comprise the following: (a) fixed payments (including in-substance fixed payments), (b) variable payments that depend on index or rate based on the index or rate at lease commencement, and (c) the exercise price of a lessee option to purchase the underlying asset if the lessee is reasonably certain to exercise.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operating leases where we are the lessor, we continue recognizing the underlying asset and depreciating it over its estimated useful life. Lease income is recognized on a straight-line basis over the lease term. Leasing revenue is not recognized when collection of all contractual rents over the term of the agreement is not probable. When collection is probable, the lessee is placed on non-accrual status and Leasing revenue is recognized when cash payments are received.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Variable lease payments associated with our leases are recognized when the event, activity, or circumstance in the lease agreement on which those payments are assessed occurs. Variable lease payments are presented within Leasing, Fiber Infrastructure and Tower revenues and general and administrative expense and operating expense in our Condensed Consolidated Statements of Income in the same line item as revenue arising from fixed lease payments (operating leases where we are the lessor) and expense arising from fixed lease payments (operating leases where we are the lessee) or amortization of the ROU asset (finance leases), respectively.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for events or changes in circumstances that require a reassessment of a lease.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profit or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lease agreements which include lease and nonlease components. For both leases where we are a lessor and leases where we are a lessee, we have elected to combine lease and nonlease components for all lease contracts. Nonlease components that are combined with lease components are primarily maintenance services related to the leased asset. Where we are the lessor, we determine whether the lease or nonlease component is the predominant component on a case-by-case basis. For all existing leases where we are the lessor, ASC Topic 842 has been applied to all combined components.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elected not to recognize ROU assets and lease liabilities for all short-term leases that have a lease term of 12 months or less. We recognize the lease payments associated with our short-term leases as an expense on a straight-line basis over the lease term. We have elected to exclude sales taxes from lease payments in arrangements where we are a lessor.</w:t>
      </w:r>
    </w:p>
    <w:p>
      <w:pPr>
        <w:spacing w:after="0" w:line="181"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color w:val="auto"/>
        </w:rPr>
        <w:t xml:space="preserve">We adopted ASC 842 using a modified retrospective transition approach as of the effective date as permitted by the amendments in ASU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Target Improvements</w:t>
      </w:r>
      <w:r>
        <w:rPr>
          <w:rFonts w:ascii="Arial" w:cs="Arial" w:eastAsia="Arial" w:hAnsi="Arial"/>
          <w:sz w:val="16"/>
          <w:szCs w:val="16"/>
          <w:color w:val="auto"/>
        </w:rPr>
        <w:t>, which provides an alternative modified retrospective transition method. As a result, we were not required to adjust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comparative period financial information for effects of the standard or make the new required lease disclosures for periods before the date of adoption (i.e. January 1, 2019). We have elected to adopt the package of transition practical expedients and, therefore, have not reassessed (i) whether existing or expired contracts contain a lease, (ii) lease classification for existing or expired leases or (iii) the accounting for initial direct costs that were previously capitalized. We elected the practical expedient to use hindsight for leases existing at the adoption date. Further, we elected to adopt the amendments in ASU 2018-01:</w:t>
      </w:r>
    </w:p>
    <w:p>
      <w:pPr>
        <w:spacing w:after="0" w:line="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which permits an entity to elect an optional transaction practical expedient to not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land easements that exist or expire before the Company’s adoption of ASC 842 and that were not previously accounted for as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2018, filed with the SEC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September 30, 2019. Based on this evaluation, our principal executive officer and principal financial officer concluded that our disclosure controls and procedures were effective as of September 30,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implemented both a new enterprise resource planning system and a billing management system during the</w:t>
      </w:r>
    </w:p>
    <w:p>
      <w:pPr>
        <w:spacing w:after="0" w:line="23" w:lineRule="exact"/>
        <w:rPr>
          <w:sz w:val="20"/>
          <w:szCs w:val="20"/>
          <w:color w:val="auto"/>
        </w:rPr>
      </w:pPr>
    </w:p>
    <w:p>
      <w:pPr>
        <w:ind w:right="1400"/>
        <w:spacing w:after="0" w:line="265" w:lineRule="auto"/>
        <w:rPr>
          <w:sz w:val="20"/>
          <w:szCs w:val="20"/>
          <w:color w:val="auto"/>
        </w:rPr>
      </w:pPr>
      <w:r>
        <w:rPr>
          <w:rFonts w:ascii="Arial" w:cs="Arial" w:eastAsia="Arial" w:hAnsi="Arial"/>
          <w:sz w:val="17"/>
          <w:szCs w:val="17"/>
          <w:color w:val="auto"/>
        </w:rPr>
        <w:t>quarter ended September 30, 2019. The new systems are expected to enhance the overall system of internal control over financial reporting through further automation and integration of business processes and were not implemented in response to any identified</w:t>
      </w:r>
    </w:p>
    <w:p>
      <w:pPr>
        <w:ind w:right="2040"/>
        <w:spacing w:after="0" w:line="254" w:lineRule="auto"/>
        <w:rPr>
          <w:sz w:val="20"/>
          <w:szCs w:val="20"/>
          <w:color w:val="auto"/>
        </w:rPr>
      </w:pPr>
      <w:r>
        <w:rPr>
          <w:rFonts w:ascii="Arial" w:cs="Arial" w:eastAsia="Arial" w:hAnsi="Arial"/>
          <w:sz w:val="18"/>
          <w:szCs w:val="18"/>
          <w:color w:val="auto"/>
        </w:rPr>
        <w:t>deficiency or a material weakness in our internal control over financial reporting. The implementations are significant in scale and complexity and significantly affect certain accounting functions. Both during the implementation of the two new systems, and afterwards, we modified certain of our internal controls to verify our controls were designed and operating effectively for all key financial reporting assertions.</w:t>
      </w:r>
    </w:p>
    <w:p>
      <w:pPr>
        <w:spacing w:after="0" w:line="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than as discussed above, there have been no changes in our internal control over financial reporting, as such term is defined in Rule 13a-15(f) under the Exchange Act, that occurred during the quarter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Windstream’s attempts to waive such default were not valid; that an “event of default” occurred with respect to such debt securities; and that the holder’s acceleration of such debt in December 2017 was effective.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response to the adverse outcome, on February 25, 2019, Windstream and all of its subsidiaries filed voluntary petitions for relief under Chapter 11 of the Bankruptcy Code in the U.S. Bankruptcy Court for the Southern District of New York.</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bankruptcy, Windstream has the option to assume or reject the Master Lease. While we believe that the Master Lease is essential to Windstream’s operations, it is difficult to predict what could occur in a restructuring, and even a temporary disruption in payments to us may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in an extreme case, our debt service obligations. See Item 1A Risk Factors of our Annual Report on Form 10-K for the year ended December 31, 2018 for additional information concerning the impact Windstream’s bankruptcy may have on our operations and financial conditions. A rejection by Windstream of the Master Lease, an adverse determination by a judge on Windstream’s claims against us, or its inability or unwillingness to meet its rent and other obligations under the Master Lease could materially adversely affect our consolidated results of operations, liquidity, and financial condition, including our ability to service debt, comply with debt covenants and pay dividends to our stockholders as required to maintain our status as a REIT. A rejection of the Master Lease by Windstream would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Master Lease contains no provision that contemplates renegotiation of the lease and the bankruptcy court has no ability to unilaterally reset the rent or terms of the lease. In addition, our Credit Agreement prohibits the Company from amending the Master Lease in a manner that, among other provisions, pro forma for any such amendment, would result in our consolidated secured leverage ratio to exceed 5.0 to 1.0, and management has no intention to enter into a lease amendment that would violate our debt covenants.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July 25, 2019, in connection with Windstream’s bankruptcy, Windstream Holdings and Windstream Services, LLC filed a complaint with the U.S. Bankruptcy Court for the Southern District of New York against the Company and certain of its affiliates alleging¸ among other things, that the Master Lease should be recharacterized as a financing arrangement, that the Master Lease is a lease of personal property, and that rent payments and tenant capital improvements made by Windstream under the Master Lease since at least the third quarter of 2017 constitute constructive fraudulent transfers. If the Master Lease is recharacterized as a financing arrangement, Windstream would be deemed the true owner of the property subject to the Master Lease, and Uniti would be treated as a creditor of Windstream rather than as a landlord, which could significantly affect current payments to us under the Master Lease, the ultimate treatment of our claims (including potentially through changing our status to that of a creditor that would share in creditor recoveries from the estate rather than receive rent payments) and our status as a REIT. If the Master Lease is determined to be a lease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 personal property, the deadline for Windstream Holdings to assume or reject the Master Lease would be the confirmation of its plan by the bankruptcy court, and Windstream may seek from the bankruptcy court relief from its current performance obligations during the bankruptcy case. If the constructive fraudulent transfer claim is successful, Uniti may be required to repay Windstream the amount of rent payments and tenant capital improvements since at least the third quarter of 2017. In parallel with the filing of the complaint, Windstream Holdings also filed a motion to stay the deadline under which Windstream must assume or reject the Master Lease pending the resolution of issues raised in the complaint. Mediation of these claims is ongoing in Windstream’s bankruptcy. In connection with the mediation, Uniti has agreed to an extension of the assumption deadline for the Master Lease to December 7, 2019. In exchange, Windstream has provided certain assurances regarding the continued payment of rent pursuant to the Master Lease during the extension period and following the expiration of the extension period, Windstream will continue to make payments under the Master Lease as they come due, unless and until Windstream obtains an order from the bankruptcy court permitting cessation of such payments.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It is difficult to predict what could occur in Windstream’s bankruptcy restructuring, including any judicial decisions in respect of claims against us by Windstream or its creditors. Any adverse determination or judicial decision could have a material adverse effect on our business, financial position or results of operations.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July 3, 2019, SLF Holdings, LLC (“SLF”) filed a complaint against the Company, Uniti Fiber Holdings Inc. (“Uniti Fiber”), and certain current and former officers of the Company (collectively, the “Defendants”) in the United States District Court for the Southern District of Alabama, in connection with Uniti Fiber’s purchase of Southern Light, LLC from SLF in July 2017. The complaint asserts claims for fraud and conspiracy, as well as claims under federal and Alabama securities laws, alleging that Defendants improperly failed to disclose to SLF the risk that the Spin-Off and entry into the Master Lease violated certain debt covenants of Windstream. SLF seeks compensatory and punitive damages, as well as reformation of the purchase agreement for the sale. On September 26, 2019, the action was transferred to United States District Court for the District of Delaware</w:t>
      </w:r>
      <w:r>
        <w:rPr>
          <w:rFonts w:ascii="Arial" w:cs="Arial" w:eastAsia="Arial" w:hAnsi="Arial"/>
          <w:sz w:val="19"/>
          <w:szCs w:val="19"/>
          <w:color w:val="auto"/>
        </w:rPr>
        <w:t>.</w:t>
      </w:r>
      <w:r>
        <w:rPr>
          <w:rFonts w:ascii="Arial" w:cs="Arial" w:eastAsia="Arial" w:hAnsi="Arial"/>
          <w:sz w:val="16"/>
          <w:szCs w:val="16"/>
          <w:color w:val="auto"/>
        </w:rPr>
        <w:t xml:space="preserve"> We intend to defend this matter vigorously, and, because it is still in its preliminary stages, have not yet determined what effect this lawsuit will have, if any, on our financial position or results of operations.</w:t>
      </w:r>
    </w:p>
    <w:p>
      <w:pPr>
        <w:spacing w:after="0" w:line="15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October 25, 2019, Ibrahim E. Safadi filed a putative class action in the U.S. District Court for the Eastern District of Arkansas against the Company and certain of our officers alleging violations of federal securities laws. The putative class action seeks to represent investors who acquired the Company’s securities between April 20, 2015 and February 15, 2019. The lawsuit asserts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lawsuit seeks class certification, unspecified monetary damages, costs and attorneys’ fees and other relief. We intend to defend this matter vigorously, and, because it is still in its preliminary stages, have not yet determined what effect this lawsuit will have, if any, on our financial position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affecting our business that were discussed in Part I, “Item 1A. Risk Factors” in our Annual Report on Form 10-K for the year ended December 31, 2018 filed with the SEC on March 18,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July 2, 2019, the Company issued 8,677,163 shares of its common stock in connection with the conversion by PEG Bandwidth Holdings, LLC of 87,500 shares of the Series A Shares. The Company issued common stock with a total value of $87,500,000 based on the five-day volume weighted average price of its common stock ending on June 27, 2019. Upon conversion, all outstanding Series A Shares were cancelled and no longer remain outstanding. The issuance by the Company of the common stock was made in reliance upon the exception from registration requirements pursuant to Section 3(a)(9) of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1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2019 to July 31, 2019</w:t>
            </w:r>
          </w:p>
        </w:tc>
        <w:tc>
          <w:tcPr>
            <w:tcW w:w="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ind w:left="15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August 1, 2019 to August 31, 2019</w:t>
            </w:r>
          </w:p>
        </w:tc>
        <w:tc>
          <w:tcPr>
            <w:tcW w:w="96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1660" w:type="dxa"/>
            <w:vAlign w:val="bottom"/>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2019 to September 30, 2019</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166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40" w:firstLine="8"/>
        <w:spacing w:after="0" w:line="252" w:lineRule="auto"/>
        <w:tabs>
          <w:tab w:leader="none" w:pos="193"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average price paid per share is the weighted-average of the fair market prices at which we calculated the number of shares withheld to cover tax withholdings for the employees.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8460" w:type="dxa"/>
            <w:vAlign w:val="bottom"/>
            <w:gridSpan w:val="6"/>
          </w:tcPr>
          <w:p>
            <w:pPr>
              <w:ind w:left="318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04"/>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26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49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7"/>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Certification of Principal Executive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9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Oxley Act of 2002.</w:t>
              </w:r>
            </w:hyperlink>
          </w:p>
        </w:tc>
        <w:tc>
          <w:tcPr>
            <w:tcW w:w="24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28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9840" w:type="dxa"/>
            <w:vAlign w:val="bottom"/>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Oxley Act of 2002.</w:t>
              </w:r>
            </w:hyperlink>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460" w:type="dxa"/>
            <w:vAlign w:val="bottom"/>
            <w:gridSpan w:val="6"/>
          </w:tcPr>
          <w:p>
            <w:pPr>
              <w:spacing w:after="0" w:line="20" w:lineRule="exact"/>
              <w:rPr>
                <w:sz w:val="1"/>
                <w:szCs w:val="1"/>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gridSpan w:val="7"/>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84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360" w:hanging="1238"/>
        <w:spacing w:after="0"/>
        <w:tabs>
          <w:tab w:leader="none" w:pos="13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690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UNITI GROUP INC.</w:t>
            </w:r>
          </w:p>
        </w:tc>
      </w:tr>
      <w:tr>
        <w:trPr>
          <w:trHeight w:val="47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80"/>
              <w:spacing w:after="0"/>
              <w:rPr>
                <w:sz w:val="20"/>
                <w:szCs w:val="20"/>
                <w:color w:val="auto"/>
              </w:rPr>
            </w:pPr>
            <w:r>
              <w:rPr>
                <w:rFonts w:ascii="Arial" w:cs="Arial" w:eastAsia="Arial" w:hAnsi="Arial"/>
                <w:sz w:val="18"/>
                <w:szCs w:val="18"/>
                <w:color w:val="auto"/>
              </w:rPr>
              <w:t>November 7,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Wallace</w:t>
            </w:r>
          </w:p>
        </w:tc>
      </w:tr>
      <w:tr>
        <w:trPr>
          <w:trHeight w:val="205"/>
        </w:trPr>
        <w:tc>
          <w:tcPr>
            <w:tcW w:w="6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0" w:type="dxa"/>
            <w:vAlign w:val="bottom"/>
          </w:tcPr>
          <w:p>
            <w:pPr>
              <w:spacing w:after="0" w:line="205" w:lineRule="exact"/>
              <w:rPr>
                <w:sz w:val="20"/>
                <w:szCs w:val="20"/>
                <w:color w:val="auto"/>
              </w:rPr>
            </w:pPr>
            <w:r>
              <w:rPr>
                <w:rFonts w:ascii="Arial" w:cs="Arial" w:eastAsia="Arial" w:hAnsi="Arial"/>
                <w:sz w:val="18"/>
                <w:szCs w:val="18"/>
                <w:b w:val="1"/>
                <w:bCs w:val="1"/>
                <w:color w:val="auto"/>
              </w:rPr>
              <w:t>Mark A. Wallace</w:t>
            </w:r>
          </w:p>
        </w:tc>
      </w:tr>
      <w:tr>
        <w:trPr>
          <w:trHeight w:val="216"/>
        </w:trPr>
        <w:tc>
          <w:tcPr>
            <w:tcW w:w="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Executive Vice President – Chief Financial Officer and Treasurer</w:t>
            </w:r>
          </w:p>
        </w:tc>
      </w:t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80"/>
              <w:spacing w:after="0"/>
              <w:rPr>
                <w:sz w:val="20"/>
                <w:szCs w:val="20"/>
                <w:color w:val="auto"/>
              </w:rPr>
            </w:pPr>
            <w:r>
              <w:rPr>
                <w:rFonts w:ascii="Arial" w:cs="Arial" w:eastAsia="Arial" w:hAnsi="Arial"/>
                <w:sz w:val="18"/>
                <w:szCs w:val="18"/>
                <w:color w:val="auto"/>
              </w:rPr>
              <w:t>November 7, 2019</w:t>
            </w: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Schuhmacher</w:t>
            </w:r>
          </w:p>
        </w:tc>
      </w:tr>
      <w:tr>
        <w:trPr>
          <w:trHeight w:val="191"/>
        </w:trPr>
        <w:tc>
          <w:tcPr>
            <w:tcW w:w="6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5800" w:type="dxa"/>
            <w:vAlign w:val="bottom"/>
          </w:tcPr>
          <w:p>
            <w:pPr>
              <w:spacing w:after="0" w:line="191" w:lineRule="exact"/>
              <w:rPr>
                <w:sz w:val="20"/>
                <w:szCs w:val="20"/>
                <w:color w:val="auto"/>
              </w:rPr>
            </w:pPr>
            <w:r>
              <w:rPr>
                <w:rFonts w:ascii="Arial" w:cs="Arial" w:eastAsia="Arial" w:hAnsi="Arial"/>
                <w:sz w:val="18"/>
                <w:szCs w:val="18"/>
                <w:b w:val="1"/>
                <w:bCs w:val="1"/>
                <w:color w:val="auto"/>
              </w:rPr>
              <w:t>Blake Schuhmacher</w:t>
            </w:r>
          </w:p>
        </w:tc>
      </w:tr>
      <w:tr>
        <w:trPr>
          <w:trHeight w:val="216"/>
        </w:trPr>
        <w:tc>
          <w:tcPr>
            <w:tcW w:w="6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Senior Vice President – Chief Accounting Officer</w:t>
            </w:r>
          </w:p>
        </w:tc>
      </w:tr>
      <w:tr>
        <w:trPr>
          <w:trHeight w:val="234"/>
        </w:trPr>
        <w:tc>
          <w:tcPr>
            <w:tcW w:w="6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100" w:hanging="756"/>
        <w:spacing w:after="0" w:line="277" w:lineRule="auto"/>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4860" w:val="left"/>
          <w:tab w:leader="none" w:pos="73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180" w:hanging="752"/>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752"/>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752"/>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20" w:right="80" w:hanging="756"/>
        <w:spacing w:after="0" w:line="264"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20" w:hanging="756"/>
        <w:spacing w:after="0" w:line="264"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20" w:right="180" w:hanging="756"/>
        <w:spacing w:after="0" w:line="342" w:lineRule="auto"/>
        <w:tabs>
          <w:tab w:leader="none" w:pos="15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20" w:right="160" w:hanging="756"/>
        <w:spacing w:after="0" w:line="264" w:lineRule="auto"/>
        <w:tabs>
          <w:tab w:leader="none" w:pos="1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752"/>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420" w:hanging="756"/>
        <w:spacing w:after="0" w:line="342" w:lineRule="auto"/>
        <w:tabs>
          <w:tab w:leader="none" w:pos="15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40" w:right="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420"/>
          </w:cols>
          <w:pgMar w:left="240" w:top="35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2019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30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35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September 30, 2019 as filed with the Securities and Exchange Commission on the date hereof (the “Report”), I certify, pursuant to 18 U.S.C. § 1350, as adopted pursuant to § 906 of the Sarbanes-Oxley Act of 2002, to my knowledge, that:</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60" w:val="left"/>
          <w:tab w:leader="none" w:pos="754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4"/>
    </w:lvl>
  </w:abstractNum>
  <w:abstractNum w:abstractNumId="5">
    <w:nsid w:val="1BEFD79F"/>
    <w:multiLevelType w:val="hybridMultilevel"/>
    <w:lvl w:ilvl="0">
      <w:lvlJc w:val="left"/>
      <w:lvlText w:val="%1."/>
      <w:numFmt w:val="lowerRoman"/>
      <w:start w:val="1"/>
    </w:lvl>
  </w:abstractNum>
  <w:abstractNum w:abstractNumId="6">
    <w:nsid w:val="41A7C4C9"/>
    <w:multiLevelType w:val="hybridMultilevel"/>
    <w:lvl w:ilvl="0">
      <w:lvlJc w:val="left"/>
      <w:lvlText w:val="%1."/>
      <w:numFmt w:val="lowerRoman"/>
      <w:start w:val="1"/>
    </w:lvl>
  </w:abstractNum>
  <w:abstractNum w:abstractNumId="7">
    <w:nsid w:val="6B68079A"/>
    <w:multiLevelType w:val="hybridMultilevel"/>
    <w:lvl w:ilvl="0">
      <w:lvlJc w:val="left"/>
      <w:lvlText w:val="%1."/>
      <w:numFmt w:val="lowerRoman"/>
      <w:start w:val="5"/>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90"/>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lowerRoman"/>
      <w:start w:val="4"/>
    </w:lvl>
  </w:abstractNum>
  <w:abstractNum w:abstractNumId="16">
    <w:nsid w:val="436C6125"/>
    <w:multiLevelType w:val="hybridMultilevel"/>
    <w:lvl w:ilvl="0">
      <w:lvlJc w:val="left"/>
      <w:lvlText w:val="%1."/>
      <w:numFmt w:val="lowerRoman"/>
      <w:start w:val="4"/>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2019-12-28T02:36:02Z</dcterms:created>
  <dcterms:modified xsi:type="dcterms:W3CDTF">2019-12-28T02:36:02Z</dcterms:modified>
</cp:coreProperties>
</file>